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F1512" w14:textId="61BF5112" w:rsidR="00712993" w:rsidRPr="009A0EBF" w:rsidRDefault="00712993" w:rsidP="00712993">
      <w:pPr>
        <w:pStyle w:val="3GPPHeader"/>
        <w:spacing w:after="60"/>
        <w:rPr>
          <w:sz w:val="32"/>
          <w:szCs w:val="32"/>
          <w:highlight w:val="yellow"/>
          <w:lang w:val="de-DE"/>
        </w:rPr>
      </w:pPr>
      <w:r w:rsidRPr="009A0EBF">
        <w:rPr>
          <w:lang w:val="de-DE"/>
        </w:rPr>
        <w:t>3GPP TSG-RAN WG2 #97bis</w:t>
      </w:r>
      <w:r w:rsidRPr="009A0EBF">
        <w:rPr>
          <w:lang w:val="de-DE"/>
        </w:rPr>
        <w:tab/>
      </w:r>
      <w:r w:rsidRPr="009A0EBF">
        <w:rPr>
          <w:sz w:val="32"/>
          <w:szCs w:val="32"/>
          <w:lang w:val="de-DE"/>
        </w:rPr>
        <w:t xml:space="preserve">Tdoc </w:t>
      </w:r>
      <w:r w:rsidR="009A0EBF" w:rsidRPr="009A0EBF">
        <w:rPr>
          <w:sz w:val="32"/>
          <w:szCs w:val="32"/>
          <w:lang w:val="de-DE"/>
        </w:rPr>
        <w:t>R2-1702749</w:t>
      </w:r>
    </w:p>
    <w:p w14:paraId="19383AF1" w14:textId="77777777" w:rsidR="00712993" w:rsidRPr="00CE0424" w:rsidRDefault="00712993" w:rsidP="00712993">
      <w:pPr>
        <w:pStyle w:val="3GPPHeader"/>
      </w:pPr>
      <w:r>
        <w:t>Spokane, USA, 3</w:t>
      </w:r>
      <w:r w:rsidRPr="00AE3743">
        <w:rPr>
          <w:vertAlign w:val="superscript"/>
        </w:rPr>
        <w:t>rd</w:t>
      </w:r>
      <w:r>
        <w:t xml:space="preserve"> – 7</w:t>
      </w:r>
      <w:r w:rsidRPr="00AE3743">
        <w:rPr>
          <w:vertAlign w:val="superscript"/>
        </w:rPr>
        <w:t>th</w:t>
      </w:r>
      <w:r>
        <w:t xml:space="preserve"> April 2017</w:t>
      </w:r>
    </w:p>
    <w:p w14:paraId="235814B9" w14:textId="77777777" w:rsidR="00E90E49" w:rsidRPr="00CE0424" w:rsidRDefault="00E90E49" w:rsidP="00357380">
      <w:pPr>
        <w:pStyle w:val="3GPPHeader"/>
      </w:pPr>
    </w:p>
    <w:p w14:paraId="051FC751" w14:textId="5748CA93" w:rsidR="00E90E49" w:rsidRPr="00C464A5" w:rsidRDefault="00E90E49" w:rsidP="00311702">
      <w:pPr>
        <w:pStyle w:val="3GPPHeader"/>
        <w:rPr>
          <w:sz w:val="22"/>
          <w:szCs w:val="22"/>
          <w:lang w:val="en-US"/>
        </w:rPr>
      </w:pPr>
      <w:r w:rsidRPr="00C464A5">
        <w:rPr>
          <w:sz w:val="22"/>
          <w:szCs w:val="22"/>
          <w:lang w:val="en-US"/>
        </w:rPr>
        <w:t>Agenda Item:</w:t>
      </w:r>
      <w:r w:rsidRPr="00C464A5">
        <w:rPr>
          <w:sz w:val="22"/>
          <w:szCs w:val="22"/>
          <w:lang w:val="en-US"/>
        </w:rPr>
        <w:tab/>
      </w:r>
      <w:r w:rsidR="003E44EF" w:rsidRPr="003E44EF">
        <w:rPr>
          <w:sz w:val="22"/>
          <w:szCs w:val="22"/>
          <w:lang w:val="en-US"/>
        </w:rPr>
        <w:t>10.2.2.3</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6ADCA849" w:rsidR="00E90E49" w:rsidRPr="00CE0424" w:rsidRDefault="003D3C45" w:rsidP="00311702">
      <w:pPr>
        <w:pStyle w:val="3GPPHeader"/>
        <w:rPr>
          <w:sz w:val="22"/>
          <w:szCs w:val="22"/>
        </w:rPr>
      </w:pPr>
      <w:r>
        <w:rPr>
          <w:sz w:val="22"/>
          <w:szCs w:val="22"/>
        </w:rPr>
        <w:t>Title:</w:t>
      </w:r>
      <w:r w:rsidR="00E90E49" w:rsidRPr="00CE0424">
        <w:rPr>
          <w:sz w:val="22"/>
          <w:szCs w:val="22"/>
        </w:rPr>
        <w:tab/>
      </w:r>
      <w:r w:rsidR="007E7831">
        <w:rPr>
          <w:sz w:val="22"/>
          <w:szCs w:val="22"/>
        </w:rPr>
        <w:t>UL Split in Dual Connectivity</w:t>
      </w:r>
    </w:p>
    <w:p w14:paraId="6A180440"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5CDF27FB" w14:textId="315409B9" w:rsidR="00D3005B" w:rsidRDefault="00F05355" w:rsidP="00CE0424">
      <w:pPr>
        <w:pStyle w:val="BodyText"/>
      </w:pPr>
      <w:r>
        <w:t xml:space="preserve">In this </w:t>
      </w:r>
      <w:r w:rsidR="005C1B54">
        <w:t>contribution,</w:t>
      </w:r>
      <w:r>
        <w:t xml:space="preserve"> we discuss uplink split in dual connectivity (DC) in NR</w:t>
      </w:r>
      <w:r w:rsidR="00533F4D">
        <w:t xml:space="preserve"> and LTE-NR integration,</w:t>
      </w:r>
      <w:r>
        <w:t xml:space="preserve"> with a focus on NR PDCP design.</w:t>
      </w:r>
    </w:p>
    <w:p w14:paraId="780DAB89" w14:textId="16A266F6" w:rsidR="001643A8" w:rsidRDefault="004000E8" w:rsidP="00CE0424">
      <w:pPr>
        <w:pStyle w:val="Heading1"/>
      </w:pPr>
      <w:bookmarkStart w:id="0" w:name="_Ref178064866"/>
      <w:r w:rsidRPr="00CE0424">
        <w:t>Discussion</w:t>
      </w:r>
      <w:bookmarkEnd w:id="0"/>
    </w:p>
    <w:p w14:paraId="764D0C8F" w14:textId="506145FD" w:rsidR="00F05355" w:rsidRDefault="00F05355" w:rsidP="00F05355">
      <w:pPr>
        <w:pStyle w:val="Heading2"/>
      </w:pPr>
      <w:bookmarkStart w:id="1" w:name="_Toc462315877"/>
      <w:bookmarkStart w:id="2" w:name="_Toc462412180"/>
      <w:bookmarkStart w:id="3" w:name="_Toc462639136"/>
      <w:bookmarkStart w:id="4" w:name="_Toc462997234"/>
      <w:bookmarkStart w:id="5" w:name="_Toc476138031"/>
      <w:bookmarkStart w:id="6" w:name="_Toc476138044"/>
      <w:bookmarkEnd w:id="1"/>
      <w:bookmarkEnd w:id="2"/>
      <w:bookmarkEnd w:id="3"/>
      <w:bookmarkEnd w:id="4"/>
      <w:bookmarkEnd w:id="5"/>
      <w:bookmarkEnd w:id="6"/>
      <w:r>
        <w:t xml:space="preserve">LTE </w:t>
      </w:r>
    </w:p>
    <w:p w14:paraId="5EA2E4BC" w14:textId="4B464310" w:rsidR="00F05355" w:rsidRDefault="00F05355" w:rsidP="00F05355">
      <w:pPr>
        <w:pStyle w:val="BodyText"/>
      </w:pPr>
      <w:r>
        <w:t>In LTE DC, uplink split for the split bearer was introduced in Rel-13. This way, the UE is enabled to split its uplink PDCP queue among the two logical channels (RLCs) associated with the different cell groups (MAC entities) of MeNB and SeNB, and thus increase its uplink data rate. Hence, the UE performs “routing” of PDCP PDUs to the respective cell groups.</w:t>
      </w:r>
    </w:p>
    <w:p w14:paraId="70523951" w14:textId="2ED9BA69" w:rsidR="00F05355" w:rsidRDefault="00F05355" w:rsidP="00F05355">
      <w:pPr>
        <w:pStyle w:val="BodyText"/>
      </w:pPr>
      <w:r>
        <w:t>In LTE, the scheme works as follows (acc. to 36.323):</w:t>
      </w:r>
    </w:p>
    <w:p w14:paraId="084A75E3" w14:textId="77777777" w:rsidR="00F05355" w:rsidRPr="00F05355" w:rsidRDefault="00F05355" w:rsidP="00EF01CF">
      <w:pPr>
        <w:ind w:left="284"/>
        <w:rPr>
          <w:sz w:val="16"/>
          <w:lang w:eastAsia="ko-KR"/>
        </w:rPr>
      </w:pPr>
      <w:r w:rsidRPr="00F05355">
        <w:rPr>
          <w:rFonts w:hint="eastAsia"/>
          <w:sz w:val="16"/>
        </w:rPr>
        <w:t xml:space="preserve">For split bearers, when indicating the data available for transmission to </w:t>
      </w:r>
      <w:r w:rsidRPr="00F05355">
        <w:rPr>
          <w:sz w:val="16"/>
        </w:rPr>
        <w:t>a</w:t>
      </w:r>
      <w:r w:rsidRPr="00F05355">
        <w:rPr>
          <w:rFonts w:hint="eastAsia"/>
          <w:sz w:val="16"/>
        </w:rPr>
        <w:t xml:space="preserve"> MAC </w:t>
      </w:r>
      <w:r w:rsidRPr="00F05355">
        <w:rPr>
          <w:rFonts w:hint="eastAsia"/>
          <w:sz w:val="16"/>
          <w:lang w:eastAsia="ko-KR"/>
        </w:rPr>
        <w:t>entity</w:t>
      </w:r>
      <w:r w:rsidRPr="00F05355">
        <w:rPr>
          <w:sz w:val="16"/>
          <w:lang w:eastAsia="ko-KR"/>
        </w:rPr>
        <w:t xml:space="preserve"> for BSR triggering and Buffer Size calculation</w:t>
      </w:r>
      <w:r w:rsidRPr="00F05355">
        <w:rPr>
          <w:rFonts w:hint="eastAsia"/>
          <w:sz w:val="16"/>
        </w:rPr>
        <w:t>, the UE shall:</w:t>
      </w:r>
    </w:p>
    <w:p w14:paraId="2B993EDD" w14:textId="77777777" w:rsidR="00F05355" w:rsidRPr="00F05355" w:rsidRDefault="00F05355" w:rsidP="00EF01CF">
      <w:pPr>
        <w:pStyle w:val="B1"/>
        <w:ind w:left="852"/>
        <w:rPr>
          <w:rFonts w:eastAsia="Malgun Gothic"/>
          <w:sz w:val="16"/>
          <w:lang w:eastAsia="ko-KR"/>
        </w:rPr>
      </w:pPr>
      <w:r w:rsidRPr="00F05355">
        <w:rPr>
          <w:rFonts w:eastAsia="Malgun Gothic" w:hint="eastAsia"/>
          <w:sz w:val="16"/>
          <w:lang w:eastAsia="ko-KR"/>
        </w:rPr>
        <w:t>-</w:t>
      </w:r>
      <w:r w:rsidRPr="00F05355">
        <w:rPr>
          <w:rFonts w:eastAsia="Malgun Gothic" w:hint="eastAsia"/>
          <w:sz w:val="16"/>
          <w:lang w:eastAsia="ko-KR"/>
        </w:rPr>
        <w:tab/>
        <w:t>if</w:t>
      </w:r>
      <w:r w:rsidRPr="00F05355">
        <w:rPr>
          <w:rFonts w:hint="eastAsia"/>
          <w:i/>
          <w:sz w:val="16"/>
          <w:lang w:eastAsia="ko-KR"/>
        </w:rPr>
        <w:t xml:space="preserve"> ul-Data</w:t>
      </w:r>
      <w:r w:rsidRPr="00F05355">
        <w:rPr>
          <w:rFonts w:eastAsia="Malgun Gothic" w:hint="eastAsia"/>
          <w:i/>
          <w:sz w:val="16"/>
          <w:lang w:eastAsia="ko-KR"/>
        </w:rPr>
        <w:t>Split</w:t>
      </w:r>
      <w:r w:rsidRPr="00F05355">
        <w:rPr>
          <w:rFonts w:eastAsia="Malgun Gothic"/>
          <w:i/>
          <w:sz w:val="16"/>
          <w:lang w:eastAsia="ko-KR"/>
        </w:rPr>
        <w:t>Threshold</w:t>
      </w:r>
      <w:r w:rsidRPr="00F05355">
        <w:rPr>
          <w:rFonts w:eastAsia="Malgun Gothic"/>
          <w:sz w:val="16"/>
          <w:lang w:eastAsia="ko-KR"/>
        </w:rPr>
        <w:t xml:space="preserve"> </w:t>
      </w:r>
      <w:r w:rsidRPr="00F05355">
        <w:rPr>
          <w:rFonts w:eastAsia="Malgun Gothic" w:hint="eastAsia"/>
          <w:sz w:val="16"/>
          <w:lang w:eastAsia="ko-KR"/>
        </w:rPr>
        <w:t>is configured and the data available for transmission is larger than or equal to</w:t>
      </w:r>
      <w:r w:rsidRPr="00F05355">
        <w:rPr>
          <w:rFonts w:hint="eastAsia"/>
          <w:i/>
          <w:sz w:val="16"/>
          <w:lang w:eastAsia="ko-KR"/>
        </w:rPr>
        <w:t xml:space="preserve"> ul-Data</w:t>
      </w:r>
      <w:r w:rsidRPr="00F05355">
        <w:rPr>
          <w:rFonts w:eastAsia="Malgun Gothic" w:hint="eastAsia"/>
          <w:i/>
          <w:sz w:val="16"/>
          <w:lang w:eastAsia="ko-KR"/>
        </w:rPr>
        <w:t>Split</w:t>
      </w:r>
      <w:r w:rsidRPr="00F05355">
        <w:rPr>
          <w:rFonts w:eastAsia="Malgun Gothic"/>
          <w:i/>
          <w:sz w:val="16"/>
          <w:lang w:eastAsia="ko-KR"/>
        </w:rPr>
        <w:t>Threshold</w:t>
      </w:r>
      <w:r w:rsidRPr="00F05355">
        <w:rPr>
          <w:rFonts w:eastAsia="Malgun Gothic"/>
          <w:sz w:val="16"/>
          <w:lang w:eastAsia="ko-KR"/>
        </w:rPr>
        <w:t>:</w:t>
      </w:r>
    </w:p>
    <w:p w14:paraId="310D5D02" w14:textId="348A5B83" w:rsidR="00F05355" w:rsidRPr="00F05355" w:rsidRDefault="00F05355" w:rsidP="00EF01CF">
      <w:pPr>
        <w:pStyle w:val="B2"/>
        <w:ind w:left="1135"/>
        <w:rPr>
          <w:rFonts w:eastAsia="Malgun Gothic"/>
          <w:sz w:val="16"/>
          <w:lang w:eastAsia="ko-KR"/>
        </w:rPr>
      </w:pPr>
      <w:r w:rsidRPr="00F05355">
        <w:rPr>
          <w:rFonts w:hint="eastAsia"/>
          <w:sz w:val="16"/>
        </w:rPr>
        <w:t>-</w:t>
      </w:r>
      <w:r w:rsidRPr="00F05355">
        <w:rPr>
          <w:rFonts w:hint="eastAsia"/>
          <w:sz w:val="16"/>
          <w:lang w:eastAsia="ko-KR"/>
        </w:rPr>
        <w:tab/>
      </w:r>
      <w:r w:rsidRPr="00F05355">
        <w:rPr>
          <w:rFonts w:hint="eastAsia"/>
          <w:sz w:val="16"/>
        </w:rPr>
        <w:t>indicate</w:t>
      </w:r>
      <w:r>
        <w:rPr>
          <w:sz w:val="16"/>
        </w:rPr>
        <w:t xml:space="preserve"> </w:t>
      </w:r>
      <w:r w:rsidRPr="00F05355">
        <w:rPr>
          <w:rFonts w:hint="eastAsia"/>
          <w:sz w:val="16"/>
        </w:rPr>
        <w:t xml:space="preserve">the data available for transmission to </w:t>
      </w:r>
      <w:r w:rsidRPr="00F05355">
        <w:rPr>
          <w:rFonts w:eastAsia="Malgun Gothic" w:hint="eastAsia"/>
          <w:sz w:val="16"/>
          <w:lang w:eastAsia="ko-KR"/>
        </w:rPr>
        <w:t xml:space="preserve">both </w:t>
      </w:r>
      <w:r w:rsidRPr="00F05355">
        <w:rPr>
          <w:rFonts w:hint="eastAsia"/>
          <w:sz w:val="16"/>
        </w:rPr>
        <w:t xml:space="preserve">the </w:t>
      </w:r>
      <w:r w:rsidRPr="00F05355">
        <w:rPr>
          <w:rFonts w:hint="eastAsia"/>
          <w:sz w:val="16"/>
          <w:lang w:eastAsia="ko-KR"/>
        </w:rPr>
        <w:t xml:space="preserve">MAC entity configured for </w:t>
      </w:r>
      <w:r w:rsidRPr="00F05355">
        <w:rPr>
          <w:rFonts w:hint="eastAsia"/>
          <w:sz w:val="16"/>
        </w:rPr>
        <w:t>SCG</w:t>
      </w:r>
      <w:r w:rsidRPr="00F05355">
        <w:rPr>
          <w:sz w:val="16"/>
        </w:rPr>
        <w:t xml:space="preserve"> </w:t>
      </w:r>
      <w:r w:rsidRPr="00F05355">
        <w:rPr>
          <w:rFonts w:eastAsia="Malgun Gothic" w:hint="eastAsia"/>
          <w:sz w:val="16"/>
          <w:lang w:eastAsia="ko-KR"/>
        </w:rPr>
        <w:t>and the MAC entity configured for MCG</w:t>
      </w:r>
      <w:r w:rsidRPr="00F05355">
        <w:rPr>
          <w:sz w:val="16"/>
        </w:rPr>
        <w:t>;</w:t>
      </w:r>
    </w:p>
    <w:p w14:paraId="68B5DC75" w14:textId="77777777" w:rsidR="00F05355" w:rsidRPr="00F05355" w:rsidRDefault="00F05355" w:rsidP="00EF01CF">
      <w:pPr>
        <w:pStyle w:val="B1"/>
        <w:ind w:left="852"/>
        <w:rPr>
          <w:sz w:val="16"/>
        </w:rPr>
      </w:pPr>
      <w:r w:rsidRPr="00F05355">
        <w:rPr>
          <w:rFonts w:hint="eastAsia"/>
          <w:sz w:val="16"/>
          <w:lang w:eastAsia="ko-KR"/>
        </w:rPr>
        <w:t>-</w:t>
      </w:r>
      <w:r w:rsidRPr="00F05355">
        <w:rPr>
          <w:rFonts w:hint="eastAsia"/>
          <w:sz w:val="16"/>
          <w:lang w:eastAsia="ko-KR"/>
        </w:rPr>
        <w:tab/>
        <w:t>else:</w:t>
      </w:r>
    </w:p>
    <w:p w14:paraId="23D76054" w14:textId="77777777" w:rsidR="00F05355" w:rsidRPr="00F05355" w:rsidRDefault="00F05355" w:rsidP="00EF01CF">
      <w:pPr>
        <w:pStyle w:val="B2"/>
        <w:ind w:left="1135"/>
        <w:rPr>
          <w:sz w:val="16"/>
        </w:rPr>
      </w:pPr>
      <w:r w:rsidRPr="00F05355">
        <w:rPr>
          <w:rFonts w:hint="eastAsia"/>
          <w:sz w:val="16"/>
        </w:rPr>
        <w:t>-</w:t>
      </w:r>
      <w:r w:rsidRPr="00F05355">
        <w:rPr>
          <w:sz w:val="16"/>
        </w:rPr>
        <w:tab/>
      </w:r>
      <w:r w:rsidRPr="00F05355">
        <w:rPr>
          <w:rFonts w:hint="eastAsia"/>
          <w:sz w:val="16"/>
        </w:rPr>
        <w:t xml:space="preserve">if </w:t>
      </w:r>
      <w:r w:rsidRPr="00F05355">
        <w:rPr>
          <w:bCs/>
          <w:i/>
          <w:iCs/>
          <w:sz w:val="16"/>
        </w:rPr>
        <w:t>ul-DataSplitDRB-ViaSCG</w:t>
      </w:r>
      <w:r w:rsidRPr="00F05355">
        <w:rPr>
          <w:rFonts w:hint="eastAsia"/>
          <w:sz w:val="16"/>
        </w:rPr>
        <w:t xml:space="preserve"> is set </w:t>
      </w:r>
      <w:r w:rsidRPr="00F05355">
        <w:rPr>
          <w:rFonts w:hint="eastAsia"/>
          <w:sz w:val="16"/>
          <w:lang w:eastAsia="ko-KR"/>
        </w:rPr>
        <w:t xml:space="preserve">to </w:t>
      </w:r>
      <w:r w:rsidRPr="00F05355">
        <w:rPr>
          <w:rFonts w:hint="eastAsia"/>
          <w:i/>
          <w:sz w:val="16"/>
          <w:lang w:eastAsia="zh-TW"/>
        </w:rPr>
        <w:t>TRUE</w:t>
      </w:r>
      <w:r w:rsidRPr="00F05355">
        <w:rPr>
          <w:rFonts w:hint="eastAsia"/>
          <w:sz w:val="16"/>
          <w:lang w:eastAsia="ko-KR"/>
        </w:rPr>
        <w:t xml:space="preserve"> </w:t>
      </w:r>
      <w:r w:rsidRPr="00F05355">
        <w:rPr>
          <w:rFonts w:hint="eastAsia"/>
          <w:sz w:val="16"/>
        </w:rPr>
        <w:t xml:space="preserve">by </w:t>
      </w:r>
      <w:r w:rsidRPr="00F05355">
        <w:rPr>
          <w:rFonts w:hint="eastAsia"/>
          <w:sz w:val="16"/>
          <w:lang w:eastAsia="ko-KR"/>
        </w:rPr>
        <w:t>uppe</w:t>
      </w:r>
      <w:r w:rsidRPr="00F05355">
        <w:rPr>
          <w:rFonts w:hint="eastAsia"/>
          <w:sz w:val="16"/>
        </w:rPr>
        <w:t>r layer [3]:</w:t>
      </w:r>
    </w:p>
    <w:p w14:paraId="1897389B" w14:textId="77777777" w:rsidR="00F05355" w:rsidRPr="00F05355" w:rsidRDefault="00F05355" w:rsidP="00EF01CF">
      <w:pPr>
        <w:pStyle w:val="B3"/>
        <w:ind w:left="1419"/>
        <w:rPr>
          <w:sz w:val="16"/>
          <w:lang w:eastAsia="ko-KR"/>
        </w:rPr>
      </w:pPr>
      <w:r w:rsidRPr="00F05355">
        <w:rPr>
          <w:rFonts w:hint="eastAsia"/>
          <w:sz w:val="16"/>
        </w:rPr>
        <w:t>-</w:t>
      </w:r>
      <w:r w:rsidRPr="00F05355">
        <w:rPr>
          <w:rFonts w:hint="eastAsia"/>
          <w:sz w:val="16"/>
          <w:lang w:eastAsia="ko-KR"/>
        </w:rPr>
        <w:tab/>
      </w:r>
      <w:r w:rsidRPr="00F05355">
        <w:rPr>
          <w:rFonts w:hint="eastAsia"/>
          <w:sz w:val="16"/>
        </w:rPr>
        <w:t xml:space="preserve">indicate the data available for transmission to the </w:t>
      </w:r>
      <w:r w:rsidRPr="00F05355">
        <w:rPr>
          <w:rFonts w:hint="eastAsia"/>
          <w:sz w:val="16"/>
          <w:lang w:eastAsia="ko-KR"/>
        </w:rPr>
        <w:t xml:space="preserve">MAC entity configured for </w:t>
      </w:r>
      <w:r w:rsidRPr="00F05355">
        <w:rPr>
          <w:rFonts w:hint="eastAsia"/>
          <w:sz w:val="16"/>
        </w:rPr>
        <w:t>SCG</w:t>
      </w:r>
      <w:r w:rsidRPr="00F05355">
        <w:rPr>
          <w:sz w:val="16"/>
        </w:rPr>
        <w:t xml:space="preserve"> only;</w:t>
      </w:r>
    </w:p>
    <w:p w14:paraId="7C634DB9" w14:textId="77777777" w:rsidR="00F05355" w:rsidRPr="00F05355" w:rsidRDefault="00F05355" w:rsidP="00EF01CF">
      <w:pPr>
        <w:pStyle w:val="B3"/>
        <w:ind w:left="1419"/>
        <w:rPr>
          <w:sz w:val="16"/>
        </w:rPr>
      </w:pPr>
      <w:r w:rsidRPr="00F05355">
        <w:rPr>
          <w:rFonts w:hint="eastAsia"/>
          <w:sz w:val="16"/>
        </w:rPr>
        <w:t>-</w:t>
      </w:r>
      <w:r w:rsidRPr="00F05355">
        <w:rPr>
          <w:rFonts w:hint="eastAsia"/>
          <w:sz w:val="16"/>
        </w:rPr>
        <w:tab/>
      </w:r>
      <w:r w:rsidRPr="00F05355">
        <w:rPr>
          <w:sz w:val="16"/>
        </w:rPr>
        <w:t>if</w:t>
      </w:r>
      <w:r w:rsidRPr="00F05355">
        <w:rPr>
          <w:rFonts w:hint="eastAsia"/>
          <w:i/>
          <w:sz w:val="16"/>
          <w:lang w:eastAsia="ko-KR"/>
        </w:rPr>
        <w:t xml:space="preserve"> ul-Data</w:t>
      </w:r>
      <w:r w:rsidRPr="00F05355">
        <w:rPr>
          <w:rFonts w:eastAsia="Malgun Gothic" w:hint="eastAsia"/>
          <w:i/>
          <w:sz w:val="16"/>
          <w:lang w:eastAsia="ko-KR"/>
        </w:rPr>
        <w:t>Split</w:t>
      </w:r>
      <w:r w:rsidRPr="00F05355">
        <w:rPr>
          <w:rFonts w:eastAsia="Malgun Gothic"/>
          <w:i/>
          <w:sz w:val="16"/>
          <w:lang w:eastAsia="ko-KR"/>
        </w:rPr>
        <w:t>Threshold</w:t>
      </w:r>
      <w:r w:rsidRPr="00F05355">
        <w:rPr>
          <w:sz w:val="16"/>
        </w:rPr>
        <w:t xml:space="preserve"> is configured, indicate the data available for transmission as 0 to the MAC entity configured for MCG</w:t>
      </w:r>
      <w:r w:rsidRPr="00F05355">
        <w:rPr>
          <w:rFonts w:hint="eastAsia"/>
          <w:sz w:val="16"/>
        </w:rPr>
        <w:t>;</w:t>
      </w:r>
    </w:p>
    <w:p w14:paraId="08A9B3FD" w14:textId="77777777" w:rsidR="00F05355" w:rsidRPr="00F05355" w:rsidRDefault="00F05355" w:rsidP="00EF01CF">
      <w:pPr>
        <w:pStyle w:val="B2"/>
        <w:ind w:left="1135"/>
        <w:rPr>
          <w:sz w:val="16"/>
          <w:lang w:eastAsia="ko-KR"/>
        </w:rPr>
      </w:pPr>
      <w:r w:rsidRPr="00F05355">
        <w:rPr>
          <w:rFonts w:hint="eastAsia"/>
          <w:sz w:val="16"/>
        </w:rPr>
        <w:t>-</w:t>
      </w:r>
      <w:r w:rsidRPr="00F05355">
        <w:rPr>
          <w:rFonts w:hint="eastAsia"/>
          <w:sz w:val="16"/>
          <w:lang w:eastAsia="ko-KR"/>
        </w:rPr>
        <w:tab/>
      </w:r>
      <w:r w:rsidRPr="00F05355">
        <w:rPr>
          <w:rFonts w:hint="eastAsia"/>
          <w:sz w:val="16"/>
        </w:rPr>
        <w:t>else</w:t>
      </w:r>
      <w:r w:rsidRPr="00F05355">
        <w:rPr>
          <w:rFonts w:hint="eastAsia"/>
          <w:sz w:val="16"/>
          <w:lang w:eastAsia="ko-KR"/>
        </w:rPr>
        <w:t>:</w:t>
      </w:r>
    </w:p>
    <w:p w14:paraId="716A9519" w14:textId="77777777" w:rsidR="00F05355" w:rsidRPr="00F05355" w:rsidRDefault="00F05355" w:rsidP="00EF01CF">
      <w:pPr>
        <w:pStyle w:val="B3"/>
        <w:ind w:left="1419"/>
        <w:rPr>
          <w:sz w:val="16"/>
          <w:lang w:eastAsia="ko-KR"/>
        </w:rPr>
      </w:pPr>
      <w:r w:rsidRPr="00F05355">
        <w:rPr>
          <w:rFonts w:hint="eastAsia"/>
          <w:sz w:val="16"/>
          <w:lang w:eastAsia="ko-KR"/>
        </w:rPr>
        <w:t>-</w:t>
      </w:r>
      <w:r w:rsidRPr="00F05355">
        <w:rPr>
          <w:rFonts w:hint="eastAsia"/>
          <w:sz w:val="16"/>
          <w:lang w:eastAsia="ko-KR"/>
        </w:rPr>
        <w:tab/>
      </w:r>
      <w:r w:rsidRPr="00F05355">
        <w:rPr>
          <w:rFonts w:hint="eastAsia"/>
          <w:sz w:val="16"/>
        </w:rPr>
        <w:t xml:space="preserve">indicate the data available for transmission to the </w:t>
      </w:r>
      <w:r w:rsidRPr="00F05355">
        <w:rPr>
          <w:rFonts w:hint="eastAsia"/>
          <w:sz w:val="16"/>
          <w:lang w:eastAsia="ko-KR"/>
        </w:rPr>
        <w:t xml:space="preserve">MAC entity configured for </w:t>
      </w:r>
      <w:r w:rsidRPr="00F05355">
        <w:rPr>
          <w:rFonts w:hint="eastAsia"/>
          <w:sz w:val="16"/>
        </w:rPr>
        <w:t>MCG</w:t>
      </w:r>
      <w:r w:rsidRPr="00F05355">
        <w:rPr>
          <w:sz w:val="16"/>
        </w:rPr>
        <w:t xml:space="preserve"> only</w:t>
      </w:r>
      <w:r w:rsidRPr="00F05355">
        <w:rPr>
          <w:rFonts w:hint="eastAsia"/>
          <w:sz w:val="16"/>
          <w:lang w:eastAsia="ko-KR"/>
        </w:rPr>
        <w:t>;</w:t>
      </w:r>
    </w:p>
    <w:p w14:paraId="20E6D605" w14:textId="77777777" w:rsidR="00F05355" w:rsidRPr="00F05355" w:rsidRDefault="00F05355" w:rsidP="00EF01CF">
      <w:pPr>
        <w:pStyle w:val="B3"/>
        <w:ind w:left="1419"/>
        <w:rPr>
          <w:sz w:val="16"/>
        </w:rPr>
      </w:pPr>
      <w:r w:rsidRPr="00F05355">
        <w:rPr>
          <w:rFonts w:hint="eastAsia"/>
          <w:sz w:val="16"/>
        </w:rPr>
        <w:t>-</w:t>
      </w:r>
      <w:r w:rsidRPr="00F05355">
        <w:rPr>
          <w:rFonts w:hint="eastAsia"/>
          <w:sz w:val="16"/>
        </w:rPr>
        <w:tab/>
      </w:r>
      <w:r w:rsidRPr="00F05355">
        <w:rPr>
          <w:sz w:val="16"/>
        </w:rPr>
        <w:t>if</w:t>
      </w:r>
      <w:r w:rsidRPr="00F05355">
        <w:rPr>
          <w:i/>
          <w:sz w:val="16"/>
          <w:lang w:eastAsia="ko-KR"/>
        </w:rPr>
        <w:t xml:space="preserve"> ul-</w:t>
      </w:r>
      <w:r w:rsidRPr="00F05355">
        <w:rPr>
          <w:rFonts w:hint="eastAsia"/>
          <w:i/>
          <w:sz w:val="16"/>
          <w:lang w:eastAsia="ko-KR"/>
        </w:rPr>
        <w:t>Data</w:t>
      </w:r>
      <w:r w:rsidRPr="00F05355">
        <w:rPr>
          <w:rFonts w:eastAsia="Malgun Gothic" w:hint="eastAsia"/>
          <w:i/>
          <w:sz w:val="16"/>
          <w:lang w:eastAsia="ko-KR"/>
        </w:rPr>
        <w:t>Split</w:t>
      </w:r>
      <w:r w:rsidRPr="00F05355">
        <w:rPr>
          <w:rFonts w:eastAsia="Malgun Gothic"/>
          <w:i/>
          <w:sz w:val="16"/>
          <w:lang w:eastAsia="ko-KR"/>
        </w:rPr>
        <w:t>Threshold</w:t>
      </w:r>
      <w:r w:rsidRPr="00F05355">
        <w:rPr>
          <w:sz w:val="16"/>
        </w:rPr>
        <w:t xml:space="preserve"> is configured, indicate the data available for transmission as 0 to the MAC entity configured for SCG</w:t>
      </w:r>
      <w:r w:rsidRPr="00F05355">
        <w:rPr>
          <w:rFonts w:hint="eastAsia"/>
          <w:sz w:val="16"/>
        </w:rPr>
        <w:t>.</w:t>
      </w:r>
    </w:p>
    <w:p w14:paraId="101FADC0" w14:textId="77777777" w:rsidR="00F05355" w:rsidRPr="00F05355" w:rsidRDefault="00F05355" w:rsidP="00EF01CF">
      <w:pPr>
        <w:ind w:left="284"/>
        <w:rPr>
          <w:sz w:val="16"/>
          <w:lang w:eastAsia="ko-KR"/>
        </w:rPr>
      </w:pPr>
      <w:r w:rsidRPr="00F05355">
        <w:rPr>
          <w:rFonts w:hint="eastAsia"/>
          <w:sz w:val="16"/>
          <w:lang w:eastAsia="ko-KR"/>
        </w:rPr>
        <w:t>For split bearers, routing is performed in the transmitting PDCP entity, and reordering is performed in the receiving PDCP entity. W</w:t>
      </w:r>
      <w:r w:rsidRPr="00F05355">
        <w:rPr>
          <w:sz w:val="16"/>
          <w:lang w:eastAsia="ko-KR"/>
        </w:rPr>
        <w:t>hen requested by lower layers to submit PDCP PDUs</w:t>
      </w:r>
      <w:r w:rsidRPr="00F05355">
        <w:rPr>
          <w:rFonts w:hint="eastAsia"/>
          <w:sz w:val="16"/>
          <w:lang w:eastAsia="ko-KR"/>
        </w:rPr>
        <w:t>,</w:t>
      </w:r>
      <w:r w:rsidRPr="00F05355">
        <w:rPr>
          <w:sz w:val="16"/>
          <w:lang w:eastAsia="ko-KR"/>
        </w:rPr>
        <w:t xml:space="preserve"> </w:t>
      </w:r>
      <w:r w:rsidRPr="00F05355">
        <w:rPr>
          <w:rFonts w:hint="eastAsia"/>
          <w:sz w:val="16"/>
          <w:lang w:eastAsia="ko-KR"/>
        </w:rPr>
        <w:t>the transmitting PDCP entity shall:</w:t>
      </w:r>
    </w:p>
    <w:p w14:paraId="2A5952AD" w14:textId="77777777" w:rsidR="00F05355" w:rsidRPr="00F05355" w:rsidRDefault="00F05355" w:rsidP="00EF01CF">
      <w:pPr>
        <w:pStyle w:val="B1"/>
        <w:ind w:left="852"/>
        <w:rPr>
          <w:sz w:val="16"/>
          <w:lang w:eastAsia="ko-KR"/>
        </w:rPr>
      </w:pPr>
      <w:r w:rsidRPr="00F05355">
        <w:rPr>
          <w:rFonts w:hint="eastAsia"/>
          <w:sz w:val="16"/>
          <w:lang w:eastAsia="ko-KR"/>
        </w:rPr>
        <w:t>-</w:t>
      </w:r>
      <w:r w:rsidRPr="00F05355">
        <w:rPr>
          <w:sz w:val="16"/>
          <w:lang w:eastAsia="ko-KR"/>
        </w:rPr>
        <w:tab/>
        <w:t xml:space="preserve">if </w:t>
      </w:r>
      <w:r w:rsidRPr="00F05355">
        <w:rPr>
          <w:i/>
          <w:sz w:val="16"/>
          <w:lang w:eastAsia="ko-KR"/>
        </w:rPr>
        <w:t>ul-</w:t>
      </w:r>
      <w:r w:rsidRPr="00F05355">
        <w:rPr>
          <w:rFonts w:hint="eastAsia"/>
          <w:i/>
          <w:sz w:val="16"/>
          <w:lang w:eastAsia="ko-KR"/>
        </w:rPr>
        <w:t>DataSplit</w:t>
      </w:r>
      <w:r w:rsidRPr="00F05355">
        <w:rPr>
          <w:i/>
          <w:sz w:val="16"/>
          <w:lang w:eastAsia="ko-KR"/>
        </w:rPr>
        <w:t>Threshold</w:t>
      </w:r>
      <w:r w:rsidRPr="00F05355">
        <w:rPr>
          <w:sz w:val="16"/>
          <w:lang w:eastAsia="ko-KR"/>
        </w:rPr>
        <w:t xml:space="preserve"> is configured</w:t>
      </w:r>
      <w:r w:rsidRPr="00F05355">
        <w:rPr>
          <w:rFonts w:hint="eastAsia"/>
          <w:sz w:val="16"/>
          <w:lang w:eastAsia="ko-KR"/>
        </w:rPr>
        <w:t xml:space="preserve"> and the </w:t>
      </w:r>
      <w:r w:rsidRPr="00F05355">
        <w:rPr>
          <w:rFonts w:eastAsia="Malgun Gothic"/>
          <w:sz w:val="16"/>
        </w:rPr>
        <w:t>data</w:t>
      </w:r>
      <w:r w:rsidRPr="00F05355">
        <w:rPr>
          <w:sz w:val="16"/>
          <w:lang w:eastAsia="ko-KR"/>
        </w:rPr>
        <w:t xml:space="preserve"> available for transmission is larger than </w:t>
      </w:r>
      <w:r w:rsidRPr="00F05355">
        <w:rPr>
          <w:rFonts w:hint="eastAsia"/>
          <w:sz w:val="16"/>
          <w:lang w:eastAsia="ko-KR"/>
        </w:rPr>
        <w:t xml:space="preserve">or equal to </w:t>
      </w:r>
      <w:r w:rsidRPr="00F05355">
        <w:rPr>
          <w:rFonts w:hint="eastAsia"/>
          <w:i/>
          <w:sz w:val="16"/>
          <w:lang w:eastAsia="ko-KR"/>
        </w:rPr>
        <w:t>ul-DataSplit</w:t>
      </w:r>
      <w:r w:rsidRPr="00F05355">
        <w:rPr>
          <w:i/>
          <w:sz w:val="16"/>
          <w:lang w:eastAsia="ko-KR"/>
        </w:rPr>
        <w:t>Threshold</w:t>
      </w:r>
      <w:r w:rsidRPr="00F05355">
        <w:rPr>
          <w:sz w:val="16"/>
          <w:lang w:eastAsia="ko-KR"/>
        </w:rPr>
        <w:t>:</w:t>
      </w:r>
    </w:p>
    <w:p w14:paraId="3FC58BF7" w14:textId="77777777" w:rsidR="00F05355" w:rsidRPr="00F05355" w:rsidRDefault="00F05355" w:rsidP="00EF01CF">
      <w:pPr>
        <w:pStyle w:val="B2"/>
        <w:ind w:left="1135"/>
        <w:rPr>
          <w:sz w:val="16"/>
          <w:lang w:eastAsia="ko-KR"/>
        </w:rPr>
      </w:pPr>
      <w:r w:rsidRPr="00F05355">
        <w:rPr>
          <w:rFonts w:hint="eastAsia"/>
          <w:sz w:val="16"/>
          <w:lang w:eastAsia="ko-KR"/>
        </w:rPr>
        <w:t>-</w:t>
      </w:r>
      <w:r w:rsidRPr="00F05355">
        <w:rPr>
          <w:sz w:val="16"/>
          <w:lang w:eastAsia="ko-KR"/>
        </w:rPr>
        <w:tab/>
        <w:t>submit t</w:t>
      </w:r>
      <w:r w:rsidRPr="00F05355">
        <w:rPr>
          <w:sz w:val="16"/>
        </w:rPr>
        <w:t>h</w:t>
      </w:r>
      <w:r w:rsidRPr="00F05355">
        <w:rPr>
          <w:sz w:val="16"/>
          <w:lang w:eastAsia="ko-KR"/>
        </w:rPr>
        <w:t xml:space="preserve">e PDCP </w:t>
      </w:r>
      <w:r w:rsidRPr="00F05355">
        <w:rPr>
          <w:sz w:val="16"/>
          <w:lang w:eastAsia="zh-TW"/>
        </w:rPr>
        <w:t>PDUs</w:t>
      </w:r>
      <w:r w:rsidRPr="00F05355">
        <w:rPr>
          <w:sz w:val="16"/>
          <w:lang w:eastAsia="ko-KR"/>
        </w:rPr>
        <w:t xml:space="preserve"> to </w:t>
      </w:r>
      <w:r w:rsidRPr="00F05355">
        <w:rPr>
          <w:rFonts w:hint="eastAsia"/>
          <w:sz w:val="16"/>
          <w:lang w:eastAsia="ko-KR"/>
        </w:rPr>
        <w:t xml:space="preserve">either </w:t>
      </w:r>
      <w:r w:rsidRPr="00F05355">
        <w:rPr>
          <w:sz w:val="16"/>
          <w:lang w:eastAsia="ko-KR"/>
        </w:rPr>
        <w:t xml:space="preserve">the </w:t>
      </w:r>
      <w:r w:rsidRPr="00F05355">
        <w:rPr>
          <w:rFonts w:hint="eastAsia"/>
          <w:sz w:val="16"/>
          <w:lang w:eastAsia="ko-KR"/>
        </w:rPr>
        <w:t>associated AM RLC</w:t>
      </w:r>
      <w:r w:rsidRPr="00F05355">
        <w:rPr>
          <w:sz w:val="16"/>
          <w:lang w:eastAsia="ko-KR"/>
        </w:rPr>
        <w:t xml:space="preserve"> entity </w:t>
      </w:r>
      <w:r w:rsidRPr="00F05355">
        <w:rPr>
          <w:rFonts w:hint="eastAsia"/>
          <w:sz w:val="16"/>
          <w:lang w:eastAsia="ko-KR"/>
        </w:rPr>
        <w:t xml:space="preserve">configured for </w:t>
      </w:r>
      <w:r w:rsidRPr="00F05355">
        <w:rPr>
          <w:sz w:val="16"/>
          <w:lang w:eastAsia="ko-KR"/>
        </w:rPr>
        <w:t>SCG</w:t>
      </w:r>
      <w:r w:rsidRPr="00F05355">
        <w:rPr>
          <w:rFonts w:hint="eastAsia"/>
          <w:sz w:val="16"/>
          <w:lang w:eastAsia="ko-KR"/>
        </w:rPr>
        <w:t xml:space="preserve"> or the associated AM RLC entity configured for MCG</w:t>
      </w:r>
      <w:r w:rsidRPr="00F05355">
        <w:rPr>
          <w:sz w:val="16"/>
          <w:lang w:eastAsia="ko-KR"/>
        </w:rPr>
        <w:t>, whichever the PDUs were requested by;</w:t>
      </w:r>
    </w:p>
    <w:p w14:paraId="189769C2" w14:textId="77777777" w:rsidR="00F05355" w:rsidRPr="00F05355" w:rsidRDefault="00F05355" w:rsidP="00EF01CF">
      <w:pPr>
        <w:pStyle w:val="B1"/>
        <w:ind w:left="852"/>
        <w:rPr>
          <w:sz w:val="16"/>
          <w:lang w:eastAsia="ko-KR"/>
        </w:rPr>
      </w:pPr>
      <w:r w:rsidRPr="00F05355">
        <w:rPr>
          <w:rFonts w:hint="eastAsia"/>
          <w:sz w:val="16"/>
          <w:lang w:eastAsia="ko-KR"/>
        </w:rPr>
        <w:t>-</w:t>
      </w:r>
      <w:r w:rsidRPr="00F05355">
        <w:rPr>
          <w:sz w:val="16"/>
          <w:lang w:eastAsia="ko-KR"/>
        </w:rPr>
        <w:tab/>
      </w:r>
      <w:r w:rsidRPr="00F05355">
        <w:rPr>
          <w:rFonts w:hint="eastAsia"/>
          <w:sz w:val="16"/>
          <w:lang w:eastAsia="ko-KR"/>
        </w:rPr>
        <w:t>else:</w:t>
      </w:r>
    </w:p>
    <w:p w14:paraId="03C107F4" w14:textId="77777777" w:rsidR="00F05355" w:rsidRPr="00F05355" w:rsidRDefault="00F05355" w:rsidP="00EF01CF">
      <w:pPr>
        <w:pStyle w:val="B2"/>
        <w:ind w:left="1135"/>
        <w:rPr>
          <w:sz w:val="16"/>
          <w:lang w:eastAsia="ko-KR"/>
        </w:rPr>
      </w:pPr>
      <w:r w:rsidRPr="00F05355">
        <w:rPr>
          <w:sz w:val="16"/>
          <w:lang w:eastAsia="ko-KR"/>
        </w:rPr>
        <w:t>-</w:t>
      </w:r>
      <w:r w:rsidRPr="00F05355">
        <w:rPr>
          <w:sz w:val="16"/>
          <w:lang w:eastAsia="ko-KR"/>
        </w:rPr>
        <w:tab/>
        <w:t xml:space="preserve">if </w:t>
      </w:r>
      <w:r w:rsidRPr="00F05355">
        <w:rPr>
          <w:bCs/>
          <w:i/>
          <w:iCs/>
          <w:sz w:val="16"/>
        </w:rPr>
        <w:t>ul-DataSplitDRB-ViaSCG</w:t>
      </w:r>
      <w:r w:rsidRPr="00F05355">
        <w:rPr>
          <w:sz w:val="16"/>
          <w:lang w:eastAsia="ko-KR"/>
        </w:rPr>
        <w:t xml:space="preserve"> is set to </w:t>
      </w:r>
      <w:r w:rsidRPr="00F05355">
        <w:rPr>
          <w:rFonts w:hint="eastAsia"/>
          <w:i/>
          <w:sz w:val="16"/>
          <w:lang w:eastAsia="zh-TW"/>
        </w:rPr>
        <w:t>TRUE</w:t>
      </w:r>
      <w:r w:rsidRPr="00F05355">
        <w:rPr>
          <w:sz w:val="16"/>
          <w:lang w:eastAsia="ko-KR"/>
        </w:rPr>
        <w:t xml:space="preserve"> by </w:t>
      </w:r>
      <w:r w:rsidRPr="00F05355">
        <w:rPr>
          <w:rFonts w:hint="eastAsia"/>
          <w:sz w:val="16"/>
          <w:lang w:eastAsia="ko-KR"/>
        </w:rPr>
        <w:t>upper</w:t>
      </w:r>
      <w:r w:rsidRPr="00F05355">
        <w:rPr>
          <w:sz w:val="16"/>
          <w:lang w:eastAsia="ko-KR"/>
        </w:rPr>
        <w:t xml:space="preserve"> layers [3]:</w:t>
      </w:r>
    </w:p>
    <w:p w14:paraId="1F5AD244" w14:textId="77777777" w:rsidR="00F05355" w:rsidRPr="00F05355" w:rsidRDefault="00F05355" w:rsidP="00EF01CF">
      <w:pPr>
        <w:pStyle w:val="B3"/>
        <w:ind w:left="1419"/>
        <w:rPr>
          <w:sz w:val="16"/>
          <w:lang w:eastAsia="ko-KR"/>
        </w:rPr>
      </w:pPr>
      <w:r w:rsidRPr="00F05355">
        <w:rPr>
          <w:sz w:val="16"/>
          <w:lang w:eastAsia="ko-KR"/>
        </w:rPr>
        <w:lastRenderedPageBreak/>
        <w:t>-</w:t>
      </w:r>
      <w:r w:rsidRPr="00F05355">
        <w:rPr>
          <w:sz w:val="16"/>
          <w:lang w:eastAsia="ko-KR"/>
        </w:rPr>
        <w:tab/>
        <w:t>if the PDUs were requested by the associated lower layers configured for SCG:</w:t>
      </w:r>
    </w:p>
    <w:p w14:paraId="7A413E23" w14:textId="77777777" w:rsidR="00F05355" w:rsidRPr="00F05355" w:rsidRDefault="00F05355" w:rsidP="00EF01CF">
      <w:pPr>
        <w:pStyle w:val="B4"/>
        <w:ind w:left="1702"/>
        <w:rPr>
          <w:sz w:val="16"/>
          <w:lang w:eastAsia="ko-KR"/>
        </w:rPr>
      </w:pPr>
      <w:r w:rsidRPr="00F05355">
        <w:rPr>
          <w:sz w:val="16"/>
          <w:lang w:eastAsia="ko-KR"/>
        </w:rPr>
        <w:t>-</w:t>
      </w:r>
      <w:r w:rsidRPr="00F05355">
        <w:rPr>
          <w:sz w:val="16"/>
          <w:lang w:eastAsia="ko-KR"/>
        </w:rPr>
        <w:tab/>
        <w:t>submit t</w:t>
      </w:r>
      <w:r w:rsidRPr="00F05355">
        <w:rPr>
          <w:sz w:val="16"/>
        </w:rPr>
        <w:t>h</w:t>
      </w:r>
      <w:r w:rsidRPr="00F05355">
        <w:rPr>
          <w:sz w:val="16"/>
          <w:lang w:eastAsia="ko-KR"/>
        </w:rPr>
        <w:t xml:space="preserve">e PDCP PDUs to the </w:t>
      </w:r>
      <w:r w:rsidRPr="00F05355">
        <w:rPr>
          <w:rFonts w:hint="eastAsia"/>
          <w:sz w:val="16"/>
          <w:lang w:eastAsia="ko-KR"/>
        </w:rPr>
        <w:t>associated AM RLC</w:t>
      </w:r>
      <w:r w:rsidRPr="00F05355">
        <w:rPr>
          <w:sz w:val="16"/>
          <w:lang w:eastAsia="ko-KR"/>
        </w:rPr>
        <w:t xml:space="preserve"> entity </w:t>
      </w:r>
      <w:r w:rsidRPr="00F05355">
        <w:rPr>
          <w:rFonts w:hint="eastAsia"/>
          <w:sz w:val="16"/>
          <w:lang w:eastAsia="ko-KR"/>
        </w:rPr>
        <w:t xml:space="preserve">configured for </w:t>
      </w:r>
      <w:r w:rsidRPr="00F05355">
        <w:rPr>
          <w:sz w:val="16"/>
          <w:lang w:eastAsia="ko-KR"/>
        </w:rPr>
        <w:t>SCG;</w:t>
      </w:r>
    </w:p>
    <w:p w14:paraId="33F9B0D6" w14:textId="77777777" w:rsidR="00F05355" w:rsidRPr="00F05355" w:rsidRDefault="00F05355" w:rsidP="00EF01CF">
      <w:pPr>
        <w:pStyle w:val="B2"/>
        <w:ind w:left="1135"/>
        <w:rPr>
          <w:sz w:val="16"/>
          <w:lang w:eastAsia="ko-KR"/>
        </w:rPr>
      </w:pPr>
      <w:r w:rsidRPr="00F05355">
        <w:rPr>
          <w:sz w:val="16"/>
          <w:lang w:eastAsia="ko-KR"/>
        </w:rPr>
        <w:t>-</w:t>
      </w:r>
      <w:r w:rsidRPr="00F05355">
        <w:rPr>
          <w:sz w:val="16"/>
          <w:lang w:eastAsia="ko-KR"/>
        </w:rPr>
        <w:tab/>
        <w:t>else:</w:t>
      </w:r>
    </w:p>
    <w:p w14:paraId="0D01DFC8" w14:textId="77777777" w:rsidR="00F05355" w:rsidRPr="00F05355" w:rsidRDefault="00F05355" w:rsidP="00EF01CF">
      <w:pPr>
        <w:pStyle w:val="B3"/>
        <w:ind w:left="1419"/>
        <w:rPr>
          <w:sz w:val="16"/>
          <w:lang w:eastAsia="ko-KR"/>
        </w:rPr>
      </w:pPr>
      <w:r w:rsidRPr="00F05355">
        <w:rPr>
          <w:sz w:val="16"/>
          <w:lang w:eastAsia="ko-KR"/>
        </w:rPr>
        <w:t>-</w:t>
      </w:r>
      <w:r w:rsidRPr="00F05355">
        <w:rPr>
          <w:sz w:val="16"/>
          <w:lang w:eastAsia="ko-KR"/>
        </w:rPr>
        <w:tab/>
        <w:t>if the PDUs were requested by the associated lower layers configured for MCG:</w:t>
      </w:r>
    </w:p>
    <w:p w14:paraId="1BF2AD90" w14:textId="0A945842" w:rsidR="00F05355" w:rsidRDefault="00F05355" w:rsidP="00EF01CF">
      <w:pPr>
        <w:pStyle w:val="B4"/>
        <w:ind w:left="1702"/>
        <w:rPr>
          <w:sz w:val="16"/>
          <w:lang w:eastAsia="ko-KR"/>
        </w:rPr>
      </w:pPr>
      <w:r w:rsidRPr="00F05355">
        <w:rPr>
          <w:sz w:val="16"/>
          <w:lang w:eastAsia="ko-KR"/>
        </w:rPr>
        <w:t>-</w:t>
      </w:r>
      <w:r w:rsidRPr="00F05355">
        <w:rPr>
          <w:sz w:val="16"/>
          <w:lang w:eastAsia="ko-KR"/>
        </w:rPr>
        <w:tab/>
        <w:t xml:space="preserve">submit the PDCP PDUs to the </w:t>
      </w:r>
      <w:r w:rsidRPr="00F05355">
        <w:rPr>
          <w:rFonts w:hint="eastAsia"/>
          <w:sz w:val="16"/>
          <w:lang w:eastAsia="ko-KR"/>
        </w:rPr>
        <w:t>associated AM RLC en</w:t>
      </w:r>
      <w:r w:rsidRPr="00F05355">
        <w:rPr>
          <w:sz w:val="16"/>
          <w:lang w:eastAsia="ko-KR"/>
        </w:rPr>
        <w:t xml:space="preserve">tity </w:t>
      </w:r>
      <w:r w:rsidRPr="00F05355">
        <w:rPr>
          <w:rFonts w:hint="eastAsia"/>
          <w:sz w:val="16"/>
          <w:lang w:eastAsia="ko-KR"/>
        </w:rPr>
        <w:t>configur</w:t>
      </w:r>
      <w:r w:rsidRPr="00F05355">
        <w:rPr>
          <w:sz w:val="16"/>
          <w:lang w:eastAsia="ko-KR"/>
        </w:rPr>
        <w:t xml:space="preserve">ed </w:t>
      </w:r>
      <w:r w:rsidRPr="00F05355">
        <w:rPr>
          <w:rFonts w:hint="eastAsia"/>
          <w:sz w:val="16"/>
          <w:lang w:eastAsia="ko-KR"/>
        </w:rPr>
        <w:t>for</w:t>
      </w:r>
      <w:r w:rsidRPr="00F05355">
        <w:rPr>
          <w:sz w:val="16"/>
          <w:lang w:eastAsia="ko-KR"/>
        </w:rPr>
        <w:t xml:space="preserve"> MCG</w:t>
      </w:r>
      <w:r w:rsidRPr="00F05355">
        <w:rPr>
          <w:rFonts w:hint="eastAsia"/>
          <w:sz w:val="16"/>
          <w:lang w:eastAsia="ko-KR"/>
        </w:rPr>
        <w:t>.</w:t>
      </w:r>
    </w:p>
    <w:p w14:paraId="780A9DC3" w14:textId="7FA28FB9" w:rsidR="00F05355" w:rsidRDefault="00F95332" w:rsidP="00E44B8E">
      <w:pPr>
        <w:pStyle w:val="BodyText"/>
      </w:pPr>
      <w:r>
        <w:t>As becomes obvious from the above procedures. Buffered data below the split threshold is only indicated as available for transmission for BSR reporting to the prioritized cell group, while when buffered data is above the split threshold, data is indicated to both cell groups. Then, a</w:t>
      </w:r>
      <w:r w:rsidR="00E44B8E" w:rsidRPr="00E44B8E">
        <w:t xml:space="preserve">s stated above, </w:t>
      </w:r>
      <w:r w:rsidR="00E44B8E">
        <w:t>in LTE, a transmission to lower layers is only done upon request from lower layers, i.e. at uplink grant reception. Otherwise the data remains on PDCP layer.</w:t>
      </w:r>
      <w:r>
        <w:t xml:space="preserve"> At the time of the request, if the buffered data is below the threshold, data is only submitted to the prioritized </w:t>
      </w:r>
      <w:r w:rsidR="00E90B43">
        <w:t>cell group; if buffered data is above the threshold, data can be submitted to either MCG or SCG cell group, i.e. to the requesting cell group.</w:t>
      </w:r>
    </w:p>
    <w:p w14:paraId="48DE1E65" w14:textId="77777777" w:rsidR="006C1B58" w:rsidRDefault="006C1B58" w:rsidP="006C1B58">
      <w:pPr>
        <w:pStyle w:val="Observation"/>
      </w:pPr>
      <w:bookmarkStart w:id="7" w:name="_Toc477443682"/>
      <w:r>
        <w:t>In LTE, the uplink split is configurable threshold based.</w:t>
      </w:r>
      <w:bookmarkEnd w:id="7"/>
    </w:p>
    <w:p w14:paraId="26AE9CA3" w14:textId="77777777" w:rsidR="006C1B58" w:rsidRDefault="006C1B58" w:rsidP="006C1B58">
      <w:pPr>
        <w:pStyle w:val="Observation"/>
      </w:pPr>
      <w:bookmarkStart w:id="8" w:name="_Toc477443683"/>
      <w:r>
        <w:t>Data below the threshold is reported as available and transmitted only via a configurable prioritized cell group.</w:t>
      </w:r>
      <w:bookmarkEnd w:id="8"/>
      <w:r>
        <w:t xml:space="preserve"> </w:t>
      </w:r>
    </w:p>
    <w:p w14:paraId="1A709CAD" w14:textId="722C4060" w:rsidR="006C1B58" w:rsidRDefault="006C1B58" w:rsidP="006C1B58">
      <w:pPr>
        <w:pStyle w:val="Observation"/>
      </w:pPr>
      <w:bookmarkStart w:id="9" w:name="_Toc477443684"/>
      <w:r>
        <w:t>If data is above the threshold, all data is reported to both cell groups, and transmission of data above the threshold is possible via both cell groups.</w:t>
      </w:r>
      <w:bookmarkEnd w:id="9"/>
    </w:p>
    <w:p w14:paraId="65897FF6" w14:textId="133FF0F6" w:rsidR="00E44B8E" w:rsidRPr="00E44B8E" w:rsidRDefault="00E44B8E" w:rsidP="00E44B8E">
      <w:pPr>
        <w:pStyle w:val="BodyText"/>
      </w:pPr>
      <w:r>
        <w:t xml:space="preserve">Also alternative schemes to the split threshold based approach had been discussed in the Rel-12 timeframe for LTE (e.g. </w:t>
      </w:r>
      <w:r w:rsidR="00495AF0">
        <w:t>discussed in [1]). This had been done with respect to whether the UE maintains one PDCP buffer, from which data is pulled (as defined above), or whether the UE maintains two PDCP buffers (one for MeNB and one for SeNB), where incoming data is split into these two buffers based e.g. on a configured ratio. The latter approach would have the disadvantage of assigning PDCP data prematurely, leading to inefficiencies, in case the configured ratio does not correspond to the actual ratio of throughputs to MeNB and SeNB.</w:t>
      </w:r>
    </w:p>
    <w:p w14:paraId="63B2702C" w14:textId="2E6999C6" w:rsidR="00193D5C" w:rsidRDefault="00F05355" w:rsidP="00F05355">
      <w:pPr>
        <w:pStyle w:val="Heading2"/>
      </w:pPr>
      <w:r>
        <w:t xml:space="preserve">NR </w:t>
      </w:r>
    </w:p>
    <w:p w14:paraId="7EAD63B9" w14:textId="6CBF2FF3" w:rsidR="00E90B43" w:rsidRDefault="00E44B8E" w:rsidP="00E84634">
      <w:pPr>
        <w:pStyle w:val="BodyText"/>
      </w:pPr>
      <w:r>
        <w:t>For the NR uplink split and PDCP design, the solution for LTE should be used as a baseline.</w:t>
      </w:r>
      <w:r w:rsidR="00E84634">
        <w:t xml:space="preserve"> </w:t>
      </w:r>
      <w:r w:rsidR="00E90B43">
        <w:t>For NR, we should consider the following further requirements as compared to LTE, for UL split design:</w:t>
      </w:r>
    </w:p>
    <w:p w14:paraId="36FFAA55" w14:textId="005A633C" w:rsidR="00E90B43" w:rsidRDefault="00E90B43" w:rsidP="00E90B43">
      <w:pPr>
        <w:pStyle w:val="BodyText"/>
        <w:numPr>
          <w:ilvl w:val="0"/>
          <w:numId w:val="27"/>
        </w:numPr>
      </w:pPr>
      <w:r>
        <w:t xml:space="preserve">NR link rates may be significantly different on MCG and SCG and may vary stronger. This applies both to NR-NR DC and NR-LTE DC, where MCG and SCG may correspond to links with different number of carriers, different carrier frequencies, different numerologies and TTI lengths. </w:t>
      </w:r>
      <w:r w:rsidR="004509EC">
        <w:t>The UL split design should efficiently consider these varying throughputs on the links.</w:t>
      </w:r>
    </w:p>
    <w:p w14:paraId="59D1305E" w14:textId="6B823D87" w:rsidR="0078696C" w:rsidRDefault="0078696C" w:rsidP="00E90B43">
      <w:pPr>
        <w:pStyle w:val="BodyText"/>
        <w:numPr>
          <w:ilvl w:val="0"/>
          <w:numId w:val="27"/>
        </w:numPr>
      </w:pPr>
      <w:r>
        <w:t>Low latency</w:t>
      </w:r>
      <w:r w:rsidR="00B11915">
        <w:t>: in NR a general design target is low latency, i.e. minimizing the processing and transmission time over L2, especially the best case latency when no queuing effects are present.</w:t>
      </w:r>
    </w:p>
    <w:p w14:paraId="7E7F4226" w14:textId="598D5C34" w:rsidR="001A67F4" w:rsidRDefault="001A67F4" w:rsidP="00E90B43">
      <w:pPr>
        <w:pStyle w:val="BodyText"/>
        <w:numPr>
          <w:ilvl w:val="0"/>
          <w:numId w:val="27"/>
        </w:numPr>
      </w:pPr>
      <w:r>
        <w:t xml:space="preserve">Latency and processing difference among links: depending on numerology on NR link, or in case of LTE and NR integration, on difference in general latency and processing time, as well as backhaul connection, it is preferable to prioritize the faster link in case of no buffering instead of splitting data unnecessarily. </w:t>
      </w:r>
    </w:p>
    <w:p w14:paraId="1F172929" w14:textId="47970008" w:rsidR="001A67F4" w:rsidRDefault="001A67F4" w:rsidP="001A67F4">
      <w:pPr>
        <w:pStyle w:val="BodyText"/>
        <w:numPr>
          <w:ilvl w:val="0"/>
          <w:numId w:val="27"/>
        </w:numPr>
      </w:pPr>
      <w:r>
        <w:t>Processing times in NR are significantly shorter, e.g. the time between grant reception and transmission. Therefore, pre-processing of data must be considered. Considering the example of single connectivity, at arrival of data in the uplink PDCP buffer, PDCP SN assignment, encryption, RLC SN assignment, as well as PDCP and RLC header construction can be done before an uplink grant becomes available. Also in NR UL split, pre-processing should be enabled as much as possible.</w:t>
      </w:r>
    </w:p>
    <w:p w14:paraId="5402BD83" w14:textId="48117743" w:rsidR="006C1B58" w:rsidRDefault="006C1B58" w:rsidP="006C1B58">
      <w:pPr>
        <w:pStyle w:val="Observation"/>
      </w:pPr>
      <w:bookmarkStart w:id="10" w:name="_Toc477443685"/>
      <w:r>
        <w:t>UL split design in NR should consider: link rate differences, latency and processing time differences, as well as the generally significantly shorter latency and processing time in NR, i.e. between grant reception and transmission.</w:t>
      </w:r>
      <w:bookmarkEnd w:id="10"/>
    </w:p>
    <w:p w14:paraId="4F9DEDBB" w14:textId="222CF421" w:rsidR="00C0115F" w:rsidRDefault="001A67F4" w:rsidP="00F95332">
      <w:pPr>
        <w:pStyle w:val="BodyText"/>
      </w:pPr>
      <w:r>
        <w:t>The split threshold base solution, can fulfil the above mentioned requirements for NR, as we explain in the following:</w:t>
      </w:r>
    </w:p>
    <w:p w14:paraId="75652FED" w14:textId="03D5AB49" w:rsidR="001A67F4" w:rsidRDefault="001A67F4" w:rsidP="001A67F4">
      <w:pPr>
        <w:pStyle w:val="BodyText"/>
        <w:numPr>
          <w:ilvl w:val="0"/>
          <w:numId w:val="27"/>
        </w:numPr>
      </w:pPr>
      <w:r>
        <w:t>Data above the split threshold is split according to the received grants, i.e. according to the actual link data rate.</w:t>
      </w:r>
    </w:p>
    <w:p w14:paraId="3718BFED" w14:textId="76A81418" w:rsidR="001A67F4" w:rsidRDefault="001A67F4" w:rsidP="001A67F4">
      <w:pPr>
        <w:pStyle w:val="BodyText"/>
        <w:numPr>
          <w:ilvl w:val="0"/>
          <w:numId w:val="27"/>
        </w:numPr>
      </w:pPr>
      <w:r>
        <w:lastRenderedPageBreak/>
        <w:t>Data below the split threshold is sent via a configurable prioritized link, which can be chosen to the be fastest link. This way, low latency and jitter is ensured.</w:t>
      </w:r>
    </w:p>
    <w:p w14:paraId="0FBCEFB7" w14:textId="1E10B37D" w:rsidR="006C1B58" w:rsidRPr="006C1B58" w:rsidRDefault="001A67F4" w:rsidP="00F95332">
      <w:pPr>
        <w:pStyle w:val="BodyText"/>
        <w:numPr>
          <w:ilvl w:val="0"/>
          <w:numId w:val="27"/>
        </w:numPr>
      </w:pPr>
      <w:r>
        <w:t>Pre-processing of data below and above the split threshold is possible, as further explained below.</w:t>
      </w:r>
    </w:p>
    <w:p w14:paraId="0EEA1AF5" w14:textId="0EBA77EE" w:rsidR="006C1B58" w:rsidRDefault="006C1B58" w:rsidP="006C1B58">
      <w:pPr>
        <w:pStyle w:val="Observation"/>
      </w:pPr>
      <w:bookmarkStart w:id="11" w:name="_Toc477443686"/>
      <w:r>
        <w:t>The split threshold based solution fulfils the requirements of NR on UL split design.</w:t>
      </w:r>
      <w:bookmarkEnd w:id="11"/>
    </w:p>
    <w:p w14:paraId="479EFD7D" w14:textId="25D8F85E" w:rsidR="00E84634" w:rsidRDefault="00E84634" w:rsidP="00F95332">
      <w:pPr>
        <w:pStyle w:val="BodyText"/>
      </w:pPr>
      <w:r w:rsidRPr="00F95332">
        <w:rPr>
          <w:u w:val="single"/>
        </w:rPr>
        <w:t>For uplink</w:t>
      </w:r>
      <w:r w:rsidR="00F95332" w:rsidRPr="00F95332">
        <w:rPr>
          <w:u w:val="single"/>
        </w:rPr>
        <w:t xml:space="preserve"> data below the split threshold</w:t>
      </w:r>
      <w:r w:rsidR="00F95332">
        <w:rPr>
          <w:u w:val="single"/>
        </w:rPr>
        <w:t>:</w:t>
      </w:r>
      <w:r w:rsidR="00F95332">
        <w:t xml:space="preserve"> data below the split threshold can only be sent via the prioritized </w:t>
      </w:r>
      <w:r w:rsidR="00E90B43">
        <w:t xml:space="preserve">cell group. </w:t>
      </w:r>
      <w:r w:rsidR="00F95332">
        <w:t xml:space="preserve">Therefore, all PDCP data below the split threshold can be pre-processed readily before an uplink grant is received with the </w:t>
      </w:r>
      <w:r w:rsidR="00B11915">
        <w:t xml:space="preserve">correct </w:t>
      </w:r>
      <w:r w:rsidR="00F95332">
        <w:t>assumption that later transmission is done on the prioritized cell group. I.e. PDCP SN is assigned, encryption is done, as well as RLC SN of RLC associated with the prioritized cell group is done. When the uplink grant arrives the data can be in-sequence transmitted via low layers. At the receiving side, PDCP would need to apply reordering only due to HARQ and RLC out of sequence deliveries within this cell group. This would lead to some jitter same as in single connectivity.</w:t>
      </w:r>
      <w:bookmarkStart w:id="12" w:name="_GoBack"/>
      <w:bookmarkEnd w:id="12"/>
    </w:p>
    <w:p w14:paraId="59A1D909" w14:textId="1F841250" w:rsidR="00B11915" w:rsidRDefault="00B11915" w:rsidP="00F95332">
      <w:pPr>
        <w:pStyle w:val="BodyText"/>
      </w:pPr>
      <w:r w:rsidRPr="00B11915">
        <w:rPr>
          <w:u w:val="single"/>
        </w:rPr>
        <w:t>For uplink data above the split threshold:</w:t>
      </w:r>
      <w:r>
        <w:t xml:space="preserve"> data above the split threshold can be sent via one of both cell groups, depending on which cell group the uplink grant is available first. This way, </w:t>
      </w:r>
      <w:r w:rsidR="00416516">
        <w:t xml:space="preserve">all received grants can be utilized. </w:t>
      </w:r>
      <w:r w:rsidR="008733BC">
        <w:t xml:space="preserve">By splitting the data, and due to the uncertainty which grant arrives first, data may be transmitted and eventually received </w:t>
      </w:r>
      <w:r w:rsidR="00B43150">
        <w:t xml:space="preserve">out of order at the PDCP receiver. The PDCP receiver applies reordering so that this out of order delivery will eventually be visible as jitter to higher layers, where the jitter relates to the skew time between the </w:t>
      </w:r>
      <w:r w:rsidR="00EF01CF">
        <w:t>transmitted blocks among both the links. Pre-processing of data above the split threshold is also possible, so that it ready for transmission when a grant is available on MCG or SCG. The following can be considered for pre-processing</w:t>
      </w:r>
      <w:r w:rsidR="001A67F4">
        <w:t xml:space="preserve"> of this data, which is explained with the help of Figure 1:</w:t>
      </w:r>
    </w:p>
    <w:p w14:paraId="19282526" w14:textId="531A29C9" w:rsidR="00EF01CF" w:rsidRPr="004635A2" w:rsidRDefault="004635A2" w:rsidP="00EF01CF">
      <w:pPr>
        <w:pStyle w:val="BodyText"/>
        <w:numPr>
          <w:ilvl w:val="0"/>
          <w:numId w:val="27"/>
        </w:numPr>
        <w:rPr>
          <w:u w:val="single"/>
        </w:rPr>
      </w:pPr>
      <w:r>
        <w:t>Since only data above the split threshold can be potentially sent via the un-prioritized link, pre-processing can be applied starting from the split threshold. At least the maximum grant size on the un-prioritized link must be pre-processed (blue in Figure 1).</w:t>
      </w:r>
    </w:p>
    <w:p w14:paraId="22D00EA8" w14:textId="00186ED5" w:rsidR="004635A2" w:rsidRPr="004635A2" w:rsidRDefault="004635A2" w:rsidP="00EF01CF">
      <w:pPr>
        <w:pStyle w:val="BodyText"/>
        <w:numPr>
          <w:ilvl w:val="0"/>
          <w:numId w:val="27"/>
        </w:numPr>
        <w:rPr>
          <w:u w:val="single"/>
        </w:rPr>
      </w:pPr>
      <w:r>
        <w:t xml:space="preserve">Data above the split threshold can also be sent via the prioritized link (green in Figure 1), in case the split threshold is smaller than the maximum grant size on the prioritized link. This can be avoided by configuring higher split thresholds (part 3 in Figure 1). </w:t>
      </w:r>
    </w:p>
    <w:p w14:paraId="202579E1" w14:textId="77777777" w:rsidR="004635A2" w:rsidRPr="004635A2" w:rsidRDefault="004635A2" w:rsidP="004635A2">
      <w:pPr>
        <w:pStyle w:val="BodyText"/>
        <w:numPr>
          <w:ilvl w:val="0"/>
          <w:numId w:val="27"/>
        </w:numPr>
        <w:rPr>
          <w:u w:val="single"/>
        </w:rPr>
      </w:pPr>
      <w:r>
        <w:t xml:space="preserve">The UE could pre-process chunks of data according to expected grant sizes in subsequent TTIs. </w:t>
      </w:r>
    </w:p>
    <w:p w14:paraId="53052ABA" w14:textId="26A80CE3" w:rsidR="004635A2" w:rsidRPr="004635A2" w:rsidRDefault="004635A2" w:rsidP="004635A2">
      <w:pPr>
        <w:pStyle w:val="BodyText"/>
        <w:numPr>
          <w:ilvl w:val="1"/>
          <w:numId w:val="27"/>
        </w:numPr>
        <w:rPr>
          <w:u w:val="single"/>
        </w:rPr>
      </w:pPr>
      <w:r>
        <w:t xml:space="preserve">If the UE also gives responsibility of this data to lower layers before the grant are received, the data needs to be transmitted also eventually via the lower layer the pre-processing was done for. This is not a problem if the grant is eventually received within the PDCP reordering time. This way, a potential delay because the grant was not received when/as large as expected, is eventually only visible as jitter to higher layers. </w:t>
      </w:r>
    </w:p>
    <w:p w14:paraId="7B04E06B" w14:textId="637A6E06" w:rsidR="00EE6923" w:rsidRPr="00D546F6" w:rsidRDefault="004635A2" w:rsidP="00E44B8E">
      <w:pPr>
        <w:pStyle w:val="BodyText"/>
        <w:numPr>
          <w:ilvl w:val="1"/>
          <w:numId w:val="27"/>
        </w:numPr>
        <w:rPr>
          <w:u w:val="single"/>
        </w:rPr>
      </w:pPr>
      <w:r>
        <w:t xml:space="preserve">If the UE keeps all data on PDCP (i.e. assigns RLC SNs, but by this does not affect RLC transmitter state), </w:t>
      </w:r>
      <w:r w:rsidR="00D546F6">
        <w:t>and does only give responsibility of the data to lower layers once the grant is received, the before mentioned jitter can be mostly avoided. When the queue changes in between TTIs, e.g. due to received grant on one of the links, a re-preprocessing needs to be done (e.g. discarding previous tentative SN assignments, and assigning new SNs). So that at a next TTI pre-processed data is again available for the potentially received uplink grants.</w:t>
      </w:r>
    </w:p>
    <w:p w14:paraId="355F74D3" w14:textId="27CE1A07" w:rsidR="00EE6923" w:rsidRDefault="00EE6923" w:rsidP="00EE6923">
      <w:pPr>
        <w:pStyle w:val="BodyText"/>
      </w:pPr>
    </w:p>
    <w:p w14:paraId="3DA36133" w14:textId="0646EC14" w:rsidR="004075D9" w:rsidRDefault="00D02460" w:rsidP="004075D9">
      <w:pPr>
        <w:pStyle w:val="Observation"/>
      </w:pPr>
      <w:bookmarkStart w:id="13" w:name="_Toc477443687"/>
      <w:r>
        <w:t>Pre-processing of PDCP data is possible in threshold based UL split.</w:t>
      </w:r>
      <w:bookmarkEnd w:id="13"/>
    </w:p>
    <w:p w14:paraId="32A90024" w14:textId="77777777" w:rsidR="004075D9" w:rsidRDefault="004075D9" w:rsidP="00EE6923">
      <w:pPr>
        <w:pStyle w:val="BodyText"/>
      </w:pPr>
    </w:p>
    <w:p w14:paraId="6A8971F5" w14:textId="44A4EE72" w:rsidR="000D4716" w:rsidRDefault="00757751" w:rsidP="000D4716">
      <w:pPr>
        <w:pStyle w:val="BodyText"/>
        <w:keepNext/>
        <w:jc w:val="center"/>
      </w:pPr>
      <w:r>
        <w:rPr>
          <w:noProof/>
          <w:lang w:eastAsia="ja-JP"/>
        </w:rPr>
        <w:drawing>
          <wp:inline distT="0" distB="0" distL="0" distR="0" wp14:anchorId="4ED7AF22" wp14:editId="049D106C">
            <wp:extent cx="6157595" cy="183888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6663" cy="1853541"/>
                    </a:xfrm>
                    <a:prstGeom prst="rect">
                      <a:avLst/>
                    </a:prstGeom>
                    <a:noFill/>
                  </pic:spPr>
                </pic:pic>
              </a:graphicData>
            </a:graphic>
          </wp:inline>
        </w:drawing>
      </w:r>
    </w:p>
    <w:p w14:paraId="7890FF90" w14:textId="76AB1EF5" w:rsidR="001A67F4" w:rsidRDefault="000D4716" w:rsidP="001A67F4">
      <w:pPr>
        <w:pStyle w:val="Caption"/>
      </w:pPr>
      <w:r>
        <w:t xml:space="preserve">Figure </w:t>
      </w:r>
      <w:r>
        <w:fldChar w:fldCharType="begin"/>
      </w:r>
      <w:r>
        <w:instrText xml:space="preserve"> SEQ Figure \* ARABIC </w:instrText>
      </w:r>
      <w:r>
        <w:fldChar w:fldCharType="separate"/>
      </w:r>
      <w:r>
        <w:rPr>
          <w:noProof/>
        </w:rPr>
        <w:t>1</w:t>
      </w:r>
      <w:r>
        <w:fldChar w:fldCharType="end"/>
      </w:r>
      <w:r>
        <w:t>: Pre-processing of PDCP data in UL split.</w:t>
      </w:r>
    </w:p>
    <w:p w14:paraId="28F6AD99" w14:textId="7432CBAC" w:rsidR="001A67F4" w:rsidRDefault="001A67F4" w:rsidP="001A67F4">
      <w:pPr>
        <w:pStyle w:val="BodyText"/>
      </w:pPr>
      <w:r>
        <w:lastRenderedPageBreak/>
        <w:t>From the discussion we conclude:</w:t>
      </w:r>
    </w:p>
    <w:p w14:paraId="0AE3B7CB" w14:textId="29EA8340" w:rsidR="00F95332" w:rsidRPr="001F1E3E" w:rsidRDefault="001A67F4" w:rsidP="00F95332">
      <w:pPr>
        <w:pStyle w:val="Proposal"/>
      </w:pPr>
      <w:bookmarkStart w:id="14" w:name="_Toc477443224"/>
      <w:bookmarkStart w:id="15" w:name="_Toc477443659"/>
      <w:bookmarkStart w:id="16" w:name="_Toc477443688"/>
      <w:bookmarkStart w:id="17" w:name="_Toc477789885"/>
      <w:bookmarkStart w:id="18" w:name="_Toc478045068"/>
      <w:r>
        <w:t>Reuse LTE-UL-split threshold based solution in NR</w:t>
      </w:r>
      <w:r w:rsidR="00F95332">
        <w:t>.</w:t>
      </w:r>
      <w:bookmarkEnd w:id="14"/>
      <w:bookmarkEnd w:id="15"/>
      <w:bookmarkEnd w:id="16"/>
      <w:bookmarkEnd w:id="17"/>
      <w:bookmarkEnd w:id="18"/>
    </w:p>
    <w:p w14:paraId="39754B4F" w14:textId="77777777" w:rsidR="00F83399" w:rsidRDefault="0053061B" w:rsidP="00724DCD">
      <w:pPr>
        <w:pStyle w:val="BodyText"/>
        <w:rPr>
          <w:lang w:val="en-US"/>
        </w:rPr>
      </w:pPr>
      <w:r>
        <w:rPr>
          <w:lang w:val="en-US"/>
        </w:rPr>
        <w:t xml:space="preserve">Furthermore, in LTE, the split threshold is configured based on RRC reconfiguration. Since in NR however faster throughput changes are expected due to potential blocking and fading dips at higher carrier frequencies, it appears useful to make the split threshold in NR more dynamically configurable. </w:t>
      </w:r>
      <w:r w:rsidR="00362383">
        <w:rPr>
          <w:lang w:val="en-US"/>
        </w:rPr>
        <w:t xml:space="preserve">This way, the UL transmission direction can be quickly adapted towards the link with the highest throughput. </w:t>
      </w:r>
    </w:p>
    <w:p w14:paraId="7CAC0DC5" w14:textId="67EFDCBA" w:rsidR="003742AC" w:rsidRDefault="0053061B" w:rsidP="00724DCD">
      <w:pPr>
        <w:pStyle w:val="BodyText"/>
        <w:rPr>
          <w:lang w:val="en-US"/>
        </w:rPr>
      </w:pPr>
      <w:r>
        <w:rPr>
          <w:lang w:val="en-US"/>
        </w:rPr>
        <w:t>Therefore, we propose to make the split threshold configurable by PDCP control signaling (which by the network could be sent via the link with the highest throughput to the UE).</w:t>
      </w:r>
      <w:r w:rsidR="00F83399">
        <w:rPr>
          <w:lang w:val="en-US"/>
        </w:rPr>
        <w:t xml:space="preserve"> </w:t>
      </w:r>
    </w:p>
    <w:p w14:paraId="38E08400" w14:textId="372FFA3C" w:rsidR="0053061B" w:rsidRPr="001F1E3E" w:rsidRDefault="0053061B" w:rsidP="0053061B">
      <w:pPr>
        <w:pStyle w:val="Proposal"/>
      </w:pPr>
      <w:bookmarkStart w:id="19" w:name="_Toc477789886"/>
      <w:bookmarkStart w:id="20" w:name="_Toc478045069"/>
      <w:r>
        <w:t xml:space="preserve">NR UL split threshold is configurable by RRC and </w:t>
      </w:r>
      <w:r w:rsidR="00F83399">
        <w:t xml:space="preserve">dynamically adaptable by </w:t>
      </w:r>
      <w:r>
        <w:t xml:space="preserve">PDCP control </w:t>
      </w:r>
      <w:r w:rsidR="00BE6771">
        <w:t>signalling</w:t>
      </w:r>
      <w:r>
        <w:t>.</w:t>
      </w:r>
      <w:bookmarkEnd w:id="19"/>
      <w:bookmarkEnd w:id="20"/>
    </w:p>
    <w:p w14:paraId="7817C02C" w14:textId="28242EA9" w:rsidR="0053061B" w:rsidRDefault="00F83399" w:rsidP="00724DCD">
      <w:pPr>
        <w:pStyle w:val="BodyText"/>
      </w:pPr>
      <w:r>
        <w:t xml:space="preserve">The same reasoning applies to the PDCP parameter of prioritized link direction (in LTE: </w:t>
      </w:r>
      <w:r w:rsidRPr="00F83399">
        <w:rPr>
          <w:i/>
        </w:rPr>
        <w:t>ul-DataSplitDRB-ViaSCG</w:t>
      </w:r>
      <w:r>
        <w:t>). For example, in implementations, where the split threshold is not used, the uplink link direction should be quickly adaptable to the link with highest throughput, e.g. in case the other link suffers from throughput degradation, e.g. due to fading.</w:t>
      </w:r>
    </w:p>
    <w:p w14:paraId="3F15555C" w14:textId="5E02896C" w:rsidR="00F83399" w:rsidRPr="001F1E3E" w:rsidRDefault="00F83399" w:rsidP="00F83399">
      <w:pPr>
        <w:pStyle w:val="Proposal"/>
      </w:pPr>
      <w:bookmarkStart w:id="21" w:name="_Toc477789887"/>
      <w:bookmarkStart w:id="22" w:name="_Toc478045070"/>
      <w:r>
        <w:t xml:space="preserve">The prioritized UL transmission direction (similar as </w:t>
      </w:r>
      <w:r w:rsidRPr="00F83399">
        <w:rPr>
          <w:i/>
        </w:rPr>
        <w:t>ul-DataSplitDRB-ViaSCG</w:t>
      </w:r>
      <w:r>
        <w:rPr>
          <w:i/>
        </w:rPr>
        <w:t xml:space="preserve">), </w:t>
      </w:r>
      <w:r w:rsidRPr="00F83399">
        <w:t>should be configurable by RRC and dynamically adaptable by PDCP control signaling</w:t>
      </w:r>
      <w:r>
        <w:t>.</w:t>
      </w:r>
      <w:bookmarkEnd w:id="21"/>
      <w:bookmarkEnd w:id="22"/>
    </w:p>
    <w:p w14:paraId="02764CED" w14:textId="77777777" w:rsidR="00F83399" w:rsidRPr="00F83399" w:rsidRDefault="00F83399" w:rsidP="00724DCD">
      <w:pPr>
        <w:pStyle w:val="BodyText"/>
      </w:pPr>
    </w:p>
    <w:p w14:paraId="6F993EEA" w14:textId="77777777" w:rsidR="00C01F33" w:rsidRPr="00CE0424" w:rsidRDefault="00C01F33" w:rsidP="00CE0424">
      <w:pPr>
        <w:pStyle w:val="Heading1"/>
      </w:pPr>
      <w:r w:rsidRPr="00CE0424">
        <w:t>Conclusion</w:t>
      </w:r>
    </w:p>
    <w:p w14:paraId="2880A24E" w14:textId="50973BCF" w:rsidR="00654E49" w:rsidRDefault="00654E49" w:rsidP="00654E49">
      <w:pPr>
        <w:pStyle w:val="BodyText"/>
      </w:pPr>
      <w:r>
        <w:t xml:space="preserve">In summary, from the discussion in Section 2, we </w:t>
      </w:r>
      <w:r w:rsidR="00905D2C">
        <w:t>list the following observations.</w:t>
      </w:r>
    </w:p>
    <w:p w14:paraId="12EDCC0A" w14:textId="77777777" w:rsidR="00905D2C" w:rsidRDefault="00905D2C">
      <w:pPr>
        <w:pStyle w:val="TOC1"/>
        <w:rPr>
          <w:rFonts w:asciiTheme="minorHAnsi" w:hAnsiTheme="minorHAnsi" w:cstheme="minorBidi"/>
          <w:b w:val="0"/>
          <w:sz w:val="22"/>
          <w:lang w:eastAsia="en-US"/>
        </w:rPr>
      </w:pPr>
      <w:r>
        <w:fldChar w:fldCharType="begin"/>
      </w:r>
      <w:r>
        <w:instrText xml:space="preserve"> TOC \n \t "Observation,1" </w:instrText>
      </w:r>
      <w:r>
        <w:fldChar w:fldCharType="separate"/>
      </w:r>
      <w:r>
        <w:t>Observation 1</w:t>
      </w:r>
      <w:r>
        <w:rPr>
          <w:rFonts w:asciiTheme="minorHAnsi" w:hAnsiTheme="minorHAnsi" w:cstheme="minorBidi"/>
          <w:b w:val="0"/>
          <w:sz w:val="22"/>
          <w:lang w:eastAsia="en-US"/>
        </w:rPr>
        <w:tab/>
      </w:r>
      <w:r>
        <w:t>In LTE, the uplink split is configurable threshold based.</w:t>
      </w:r>
    </w:p>
    <w:p w14:paraId="47B95AB9" w14:textId="77777777" w:rsidR="00905D2C" w:rsidRDefault="00905D2C">
      <w:pPr>
        <w:pStyle w:val="TOC1"/>
        <w:rPr>
          <w:rFonts w:asciiTheme="minorHAnsi" w:hAnsiTheme="minorHAnsi" w:cstheme="minorBidi"/>
          <w:b w:val="0"/>
          <w:sz w:val="22"/>
          <w:lang w:eastAsia="en-US"/>
        </w:rPr>
      </w:pPr>
      <w:r>
        <w:t>Observation 2</w:t>
      </w:r>
      <w:r>
        <w:rPr>
          <w:rFonts w:asciiTheme="minorHAnsi" w:hAnsiTheme="minorHAnsi" w:cstheme="minorBidi"/>
          <w:b w:val="0"/>
          <w:sz w:val="22"/>
          <w:lang w:eastAsia="en-US"/>
        </w:rPr>
        <w:tab/>
      </w:r>
      <w:r>
        <w:t>Data below the threshold is reported as available and transmitted only via a configurable prioritized cell group.</w:t>
      </w:r>
    </w:p>
    <w:p w14:paraId="2CDA42CD" w14:textId="77777777" w:rsidR="00905D2C" w:rsidRDefault="00905D2C">
      <w:pPr>
        <w:pStyle w:val="TOC1"/>
        <w:rPr>
          <w:rFonts w:asciiTheme="minorHAnsi" w:hAnsiTheme="minorHAnsi" w:cstheme="minorBidi"/>
          <w:b w:val="0"/>
          <w:sz w:val="22"/>
          <w:lang w:eastAsia="en-US"/>
        </w:rPr>
      </w:pPr>
      <w:r>
        <w:t>Observation 3</w:t>
      </w:r>
      <w:r>
        <w:rPr>
          <w:rFonts w:asciiTheme="minorHAnsi" w:hAnsiTheme="minorHAnsi" w:cstheme="minorBidi"/>
          <w:b w:val="0"/>
          <w:sz w:val="22"/>
          <w:lang w:eastAsia="en-US"/>
        </w:rPr>
        <w:tab/>
      </w:r>
      <w:r>
        <w:t>If data is above the threshold, all data is reported to both cell groups, and transmission of data above the threshold is possible via both cell groups.</w:t>
      </w:r>
    </w:p>
    <w:p w14:paraId="4C4172E9" w14:textId="77777777" w:rsidR="00905D2C" w:rsidRDefault="00905D2C">
      <w:pPr>
        <w:pStyle w:val="TOC1"/>
        <w:rPr>
          <w:rFonts w:asciiTheme="minorHAnsi" w:hAnsiTheme="minorHAnsi" w:cstheme="minorBidi"/>
          <w:b w:val="0"/>
          <w:sz w:val="22"/>
          <w:lang w:eastAsia="en-US"/>
        </w:rPr>
      </w:pPr>
      <w:r>
        <w:t>Observation 4</w:t>
      </w:r>
      <w:r>
        <w:rPr>
          <w:rFonts w:asciiTheme="minorHAnsi" w:hAnsiTheme="minorHAnsi" w:cstheme="minorBidi"/>
          <w:b w:val="0"/>
          <w:sz w:val="22"/>
          <w:lang w:eastAsia="en-US"/>
        </w:rPr>
        <w:tab/>
      </w:r>
      <w:r>
        <w:t>UL split design in NR should consider: link rate differences, latency and processing time differences, as well as the generally significantly shorter latency and processing time in NR, i.e. between grant reception and transmission.</w:t>
      </w:r>
    </w:p>
    <w:p w14:paraId="05E23694" w14:textId="77777777" w:rsidR="00905D2C" w:rsidRDefault="00905D2C">
      <w:pPr>
        <w:pStyle w:val="TOC1"/>
        <w:rPr>
          <w:rFonts w:asciiTheme="minorHAnsi" w:hAnsiTheme="minorHAnsi" w:cstheme="minorBidi"/>
          <w:b w:val="0"/>
          <w:sz w:val="22"/>
          <w:lang w:eastAsia="en-US"/>
        </w:rPr>
      </w:pPr>
      <w:r>
        <w:t>Observation 5</w:t>
      </w:r>
      <w:r>
        <w:rPr>
          <w:rFonts w:asciiTheme="minorHAnsi" w:hAnsiTheme="minorHAnsi" w:cstheme="minorBidi"/>
          <w:b w:val="0"/>
          <w:sz w:val="22"/>
          <w:lang w:eastAsia="en-US"/>
        </w:rPr>
        <w:tab/>
      </w:r>
      <w:r>
        <w:t>The split threshold based solution fulfils the requirements of NR on UL split design.</w:t>
      </w:r>
    </w:p>
    <w:p w14:paraId="52548EC0" w14:textId="77777777" w:rsidR="00905D2C" w:rsidRDefault="00905D2C">
      <w:pPr>
        <w:pStyle w:val="TOC1"/>
        <w:rPr>
          <w:rFonts w:asciiTheme="minorHAnsi" w:hAnsiTheme="minorHAnsi" w:cstheme="minorBidi"/>
          <w:b w:val="0"/>
          <w:sz w:val="22"/>
          <w:lang w:eastAsia="en-US"/>
        </w:rPr>
      </w:pPr>
      <w:r>
        <w:t>Observation 6</w:t>
      </w:r>
      <w:r>
        <w:rPr>
          <w:rFonts w:asciiTheme="minorHAnsi" w:hAnsiTheme="minorHAnsi" w:cstheme="minorBidi"/>
          <w:b w:val="0"/>
          <w:sz w:val="22"/>
          <w:lang w:eastAsia="en-US"/>
        </w:rPr>
        <w:tab/>
      </w:r>
      <w:r>
        <w:t>Pre-processing of PDCP data is possible in threshold based UL split.</w:t>
      </w:r>
    </w:p>
    <w:p w14:paraId="528475A1" w14:textId="0261609D" w:rsidR="00905D2C" w:rsidRDefault="00905D2C" w:rsidP="00654E49">
      <w:pPr>
        <w:pStyle w:val="BodyText"/>
      </w:pPr>
      <w:r>
        <w:fldChar w:fldCharType="end"/>
      </w:r>
    </w:p>
    <w:p w14:paraId="300814CC" w14:textId="5AD90622" w:rsidR="00905D2C" w:rsidRDefault="00905D2C" w:rsidP="00654E49">
      <w:pPr>
        <w:pStyle w:val="BodyText"/>
      </w:pPr>
      <w:r>
        <w:t>Based on the discussion and observations, we conclude:</w:t>
      </w:r>
    </w:p>
    <w:p w14:paraId="2AEF61A0" w14:textId="77777777" w:rsidR="006E430C" w:rsidRDefault="00654E49">
      <w:pPr>
        <w:pStyle w:val="TOC1"/>
        <w:rPr>
          <w:rFonts w:asciiTheme="minorHAnsi" w:hAnsiTheme="minorHAnsi" w:cstheme="minorBidi"/>
          <w:b w:val="0"/>
          <w:sz w:val="22"/>
          <w:lang w:eastAsia="en-US"/>
        </w:rPr>
      </w:pPr>
      <w:r>
        <w:fldChar w:fldCharType="begin"/>
      </w:r>
      <w:r>
        <w:instrText xml:space="preserve"> TOC \n \t "Proposal,1" </w:instrText>
      </w:r>
      <w:r>
        <w:fldChar w:fldCharType="separate"/>
      </w:r>
      <w:r w:rsidR="006E430C">
        <w:t>Proposal 1</w:t>
      </w:r>
      <w:r w:rsidR="006E430C">
        <w:rPr>
          <w:rFonts w:asciiTheme="minorHAnsi" w:hAnsiTheme="minorHAnsi" w:cstheme="minorBidi"/>
          <w:b w:val="0"/>
          <w:sz w:val="22"/>
          <w:lang w:eastAsia="en-US"/>
        </w:rPr>
        <w:tab/>
      </w:r>
      <w:r w:rsidR="006E430C">
        <w:t>Reuse LTE-UL-split threshold based solution in NR.</w:t>
      </w:r>
    </w:p>
    <w:p w14:paraId="3C80FD09" w14:textId="77777777" w:rsidR="006E430C" w:rsidRDefault="006E430C">
      <w:pPr>
        <w:pStyle w:val="TOC1"/>
        <w:rPr>
          <w:rFonts w:asciiTheme="minorHAnsi" w:hAnsiTheme="minorHAnsi" w:cstheme="minorBidi"/>
          <w:b w:val="0"/>
          <w:sz w:val="22"/>
          <w:lang w:eastAsia="en-US"/>
        </w:rPr>
      </w:pPr>
      <w:r>
        <w:t>Proposal 2</w:t>
      </w:r>
      <w:r>
        <w:rPr>
          <w:rFonts w:asciiTheme="minorHAnsi" w:hAnsiTheme="minorHAnsi" w:cstheme="minorBidi"/>
          <w:b w:val="0"/>
          <w:sz w:val="22"/>
          <w:lang w:eastAsia="en-US"/>
        </w:rPr>
        <w:tab/>
      </w:r>
      <w:r>
        <w:t>NR UL split threshold is configurable by RRC and dynamically adaptable by PDCP control signalling.</w:t>
      </w:r>
    </w:p>
    <w:p w14:paraId="3B7807CE" w14:textId="77777777" w:rsidR="006E430C" w:rsidRDefault="006E430C">
      <w:pPr>
        <w:pStyle w:val="TOC1"/>
        <w:rPr>
          <w:rFonts w:asciiTheme="minorHAnsi" w:hAnsiTheme="minorHAnsi" w:cstheme="minorBidi"/>
          <w:b w:val="0"/>
          <w:sz w:val="22"/>
          <w:lang w:eastAsia="en-US"/>
        </w:rPr>
      </w:pPr>
      <w:r>
        <w:t>Proposal 3</w:t>
      </w:r>
      <w:r>
        <w:rPr>
          <w:rFonts w:asciiTheme="minorHAnsi" w:hAnsiTheme="minorHAnsi" w:cstheme="minorBidi"/>
          <w:b w:val="0"/>
          <w:sz w:val="22"/>
          <w:lang w:eastAsia="en-US"/>
        </w:rPr>
        <w:tab/>
      </w:r>
      <w:r>
        <w:t xml:space="preserve">The prioritized UL transmission direction (similar as </w:t>
      </w:r>
      <w:r w:rsidRPr="009D43EE">
        <w:rPr>
          <w:i/>
        </w:rPr>
        <w:t xml:space="preserve">ul-DataSplitDRB-ViaSCG), </w:t>
      </w:r>
      <w:r>
        <w:t>should be configurable by RRC and dynamically adaptable by PDCP control signaling.</w:t>
      </w:r>
    </w:p>
    <w:p w14:paraId="202A3D19" w14:textId="34F4B5CE" w:rsidR="00654E49" w:rsidRDefault="00654E49" w:rsidP="00CC2E61">
      <w:pPr>
        <w:pStyle w:val="BodyText"/>
      </w:pPr>
      <w:r>
        <w:fldChar w:fldCharType="end"/>
      </w:r>
    </w:p>
    <w:p w14:paraId="184F35A9" w14:textId="72CF815C" w:rsidR="00E44B8E" w:rsidRDefault="00E44B8E" w:rsidP="00E44B8E">
      <w:pPr>
        <w:pStyle w:val="Heading1"/>
      </w:pPr>
      <w:r>
        <w:t>References</w:t>
      </w:r>
    </w:p>
    <w:p w14:paraId="44070BC5" w14:textId="57CFA8B7" w:rsidR="00E44B8E" w:rsidRPr="00A37E9E" w:rsidRDefault="005C1B54" w:rsidP="0054788F">
      <w:pPr>
        <w:pStyle w:val="Reference"/>
      </w:pPr>
      <w:hyperlink r:id="rId14" w:history="1">
        <w:r w:rsidR="00A37E9E" w:rsidRPr="00A37E9E">
          <w:rPr>
            <w:rStyle w:val="Hyperlink"/>
          </w:rPr>
          <w:t>R2-141102</w:t>
        </w:r>
      </w:hyperlink>
      <w:r w:rsidR="00A37E9E" w:rsidRPr="00A37E9E">
        <w:t>, “Discussion on Uplink Bearer Split”, (Summary of email discussion), NSN (rappateur), Valencia, Spain, 31. March – 4. April 2014</w:t>
      </w:r>
    </w:p>
    <w:sectPr w:rsidR="00E44B8E" w:rsidRPr="00A37E9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91C3" w14:textId="77777777" w:rsidR="00007F4A" w:rsidRDefault="00007F4A">
      <w:r>
        <w:separator/>
      </w:r>
    </w:p>
  </w:endnote>
  <w:endnote w:type="continuationSeparator" w:id="0">
    <w:p w14:paraId="25223103" w14:textId="77777777" w:rsidR="00007F4A" w:rsidRDefault="00007F4A">
      <w:r>
        <w:continuationSeparator/>
      </w:r>
    </w:p>
  </w:endnote>
  <w:endnote w:type="continuationNotice" w:id="1">
    <w:p w14:paraId="586D4985" w14:textId="77777777" w:rsidR="00007F4A" w:rsidRDefault="00007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11123375"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1B5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1B5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43487" w14:textId="77777777" w:rsidR="00007F4A" w:rsidRDefault="00007F4A">
      <w:r>
        <w:separator/>
      </w:r>
    </w:p>
  </w:footnote>
  <w:footnote w:type="continuationSeparator" w:id="0">
    <w:p w14:paraId="4DC78978" w14:textId="77777777" w:rsidR="00007F4A" w:rsidRDefault="00007F4A">
      <w:r>
        <w:continuationSeparator/>
      </w:r>
    </w:p>
  </w:footnote>
  <w:footnote w:type="continuationNotice" w:id="1">
    <w:p w14:paraId="24F48103" w14:textId="77777777" w:rsidR="00007F4A" w:rsidRDefault="00007F4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F145A8" w:rsidRDefault="00F145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F145A8" w:rsidRDefault="00F145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42DCC0"/>
    <w:lvl w:ilvl="0">
      <w:start w:val="1"/>
      <w:numFmt w:val="decimal"/>
      <w:lvlText w:val="%1."/>
      <w:lvlJc w:val="left"/>
      <w:pPr>
        <w:tabs>
          <w:tab w:val="num" w:pos="1492"/>
        </w:tabs>
        <w:ind w:left="1492" w:hanging="360"/>
      </w:pPr>
    </w:lvl>
  </w:abstractNum>
  <w:abstractNum w:abstractNumId="1">
    <w:nsid w:val="FFFFFF7D"/>
    <w:multiLevelType w:val="singleLevel"/>
    <w:tmpl w:val="DB6EB21E"/>
    <w:lvl w:ilvl="0">
      <w:start w:val="1"/>
      <w:numFmt w:val="decimal"/>
      <w:lvlText w:val="%1."/>
      <w:lvlJc w:val="left"/>
      <w:pPr>
        <w:tabs>
          <w:tab w:val="num" w:pos="1209"/>
        </w:tabs>
        <w:ind w:left="1209" w:hanging="360"/>
      </w:pPr>
    </w:lvl>
  </w:abstractNum>
  <w:abstractNum w:abstractNumId="2">
    <w:nsid w:val="FFFFFF7E"/>
    <w:multiLevelType w:val="singleLevel"/>
    <w:tmpl w:val="A82E8C5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22AF0"/>
    <w:multiLevelType w:val="hybridMultilevel"/>
    <w:tmpl w:val="A94C5576"/>
    <w:lvl w:ilvl="0" w:tplc="15280C0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0919E7"/>
    <w:multiLevelType w:val="hybridMultilevel"/>
    <w:tmpl w:val="F368A656"/>
    <w:lvl w:ilvl="0" w:tplc="0C6E310C">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3326BF"/>
    <w:multiLevelType w:val="hybridMultilevel"/>
    <w:tmpl w:val="14AC793E"/>
    <w:lvl w:ilvl="0" w:tplc="85103B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C660B4"/>
    <w:multiLevelType w:val="hybridMultilevel"/>
    <w:tmpl w:val="793679BA"/>
    <w:lvl w:ilvl="0" w:tplc="D1E600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A63F0B"/>
    <w:multiLevelType w:val="hybridMultilevel"/>
    <w:tmpl w:val="1712908C"/>
    <w:lvl w:ilvl="0" w:tplc="CCCA09C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B296BCE"/>
    <w:multiLevelType w:val="hybridMultilevel"/>
    <w:tmpl w:val="0930D680"/>
    <w:lvl w:ilvl="0" w:tplc="E652906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10"/>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24"/>
  </w:num>
  <w:num w:numId="18">
    <w:abstractNumId w:val="5"/>
  </w:num>
  <w:num w:numId="19">
    <w:abstractNumId w:val="6"/>
  </w:num>
  <w:num w:numId="20">
    <w:abstractNumId w:val="9"/>
  </w:num>
  <w:num w:numId="21">
    <w:abstractNumId w:val="23"/>
  </w:num>
  <w:num w:numId="22">
    <w:abstractNumId w:val="8"/>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1"/>
  </w:num>
  <w:num w:numId="25">
    <w:abstractNumId w:val="17"/>
  </w:num>
  <w:num w:numId="26">
    <w:abstractNumId w:val="14"/>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D0D07"/>
    <w:rsid w:val="000D2F35"/>
    <w:rsid w:val="000D4716"/>
    <w:rsid w:val="000D4797"/>
    <w:rsid w:val="000E0527"/>
    <w:rsid w:val="000E1E92"/>
    <w:rsid w:val="000E7502"/>
    <w:rsid w:val="000F06D6"/>
    <w:rsid w:val="000F0EB1"/>
    <w:rsid w:val="000F1106"/>
    <w:rsid w:val="000F3BE9"/>
    <w:rsid w:val="000F3F6C"/>
    <w:rsid w:val="000F62EE"/>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16E"/>
    <w:rsid w:val="00133943"/>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3D5C"/>
    <w:rsid w:val="00195D63"/>
    <w:rsid w:val="00197DF9"/>
    <w:rsid w:val="001A1987"/>
    <w:rsid w:val="001A2564"/>
    <w:rsid w:val="001A2968"/>
    <w:rsid w:val="001A6173"/>
    <w:rsid w:val="001A67F4"/>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54F"/>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2D9B"/>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62383"/>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7FE5"/>
    <w:rsid w:val="003C11C8"/>
    <w:rsid w:val="003C2702"/>
    <w:rsid w:val="003C4418"/>
    <w:rsid w:val="003C7806"/>
    <w:rsid w:val="003D109F"/>
    <w:rsid w:val="003D2478"/>
    <w:rsid w:val="003D2FC4"/>
    <w:rsid w:val="003D3C45"/>
    <w:rsid w:val="003D5B1F"/>
    <w:rsid w:val="003E15FA"/>
    <w:rsid w:val="003E44EF"/>
    <w:rsid w:val="003E55E4"/>
    <w:rsid w:val="003E74E3"/>
    <w:rsid w:val="003F05C7"/>
    <w:rsid w:val="003F2CD4"/>
    <w:rsid w:val="003F6BBE"/>
    <w:rsid w:val="004000E8"/>
    <w:rsid w:val="004009CB"/>
    <w:rsid w:val="00400EF0"/>
    <w:rsid w:val="00402E2B"/>
    <w:rsid w:val="0040512B"/>
    <w:rsid w:val="0040520F"/>
    <w:rsid w:val="00405CA5"/>
    <w:rsid w:val="004075D9"/>
    <w:rsid w:val="00407CD3"/>
    <w:rsid w:val="00410134"/>
    <w:rsid w:val="00410B72"/>
    <w:rsid w:val="00410F18"/>
    <w:rsid w:val="0041263E"/>
    <w:rsid w:val="00413AAC"/>
    <w:rsid w:val="00415627"/>
    <w:rsid w:val="00416516"/>
    <w:rsid w:val="00416924"/>
    <w:rsid w:val="004179C4"/>
    <w:rsid w:val="00421105"/>
    <w:rsid w:val="004234CF"/>
    <w:rsid w:val="004242F4"/>
    <w:rsid w:val="00427248"/>
    <w:rsid w:val="00437447"/>
    <w:rsid w:val="00441A92"/>
    <w:rsid w:val="00444469"/>
    <w:rsid w:val="00444F56"/>
    <w:rsid w:val="00446488"/>
    <w:rsid w:val="00447004"/>
    <w:rsid w:val="004509EC"/>
    <w:rsid w:val="004517AA"/>
    <w:rsid w:val="00452CAC"/>
    <w:rsid w:val="00457565"/>
    <w:rsid w:val="00457B71"/>
    <w:rsid w:val="004635A2"/>
    <w:rsid w:val="00464926"/>
    <w:rsid w:val="00465F3A"/>
    <w:rsid w:val="004669E2"/>
    <w:rsid w:val="00470C31"/>
    <w:rsid w:val="00473069"/>
    <w:rsid w:val="004734D0"/>
    <w:rsid w:val="0047556B"/>
    <w:rsid w:val="00477768"/>
    <w:rsid w:val="004816CC"/>
    <w:rsid w:val="004850B1"/>
    <w:rsid w:val="00492BC5"/>
    <w:rsid w:val="00495AF0"/>
    <w:rsid w:val="004964F1"/>
    <w:rsid w:val="004A16BC"/>
    <w:rsid w:val="004A2B94"/>
    <w:rsid w:val="004B7C0C"/>
    <w:rsid w:val="004C3898"/>
    <w:rsid w:val="004C3D74"/>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061B"/>
    <w:rsid w:val="005338D0"/>
    <w:rsid w:val="00533F4D"/>
    <w:rsid w:val="00534B59"/>
    <w:rsid w:val="00536759"/>
    <w:rsid w:val="00537C62"/>
    <w:rsid w:val="00541A0E"/>
    <w:rsid w:val="00545AB6"/>
    <w:rsid w:val="0054681E"/>
    <w:rsid w:val="00546970"/>
    <w:rsid w:val="0054788F"/>
    <w:rsid w:val="00554E19"/>
    <w:rsid w:val="0056121F"/>
    <w:rsid w:val="00572505"/>
    <w:rsid w:val="00580202"/>
    <w:rsid w:val="00582809"/>
    <w:rsid w:val="0058798C"/>
    <w:rsid w:val="005900FA"/>
    <w:rsid w:val="005932EF"/>
    <w:rsid w:val="005935A4"/>
    <w:rsid w:val="005948C2"/>
    <w:rsid w:val="005955AC"/>
    <w:rsid w:val="00595DCA"/>
    <w:rsid w:val="0059779B"/>
    <w:rsid w:val="005A209A"/>
    <w:rsid w:val="005A662D"/>
    <w:rsid w:val="005B35D7"/>
    <w:rsid w:val="005B392A"/>
    <w:rsid w:val="005B3AA3"/>
    <w:rsid w:val="005B6F83"/>
    <w:rsid w:val="005B74F8"/>
    <w:rsid w:val="005C1B54"/>
    <w:rsid w:val="005C74FB"/>
    <w:rsid w:val="005D094D"/>
    <w:rsid w:val="005D1602"/>
    <w:rsid w:val="005D60DB"/>
    <w:rsid w:val="005E147A"/>
    <w:rsid w:val="005E385F"/>
    <w:rsid w:val="005E42E4"/>
    <w:rsid w:val="005E5B81"/>
    <w:rsid w:val="005E744E"/>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4E4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54"/>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1B58"/>
    <w:rsid w:val="006C5EC9"/>
    <w:rsid w:val="006C6059"/>
    <w:rsid w:val="006C7522"/>
    <w:rsid w:val="006D68F5"/>
    <w:rsid w:val="006D6F08"/>
    <w:rsid w:val="006E062C"/>
    <w:rsid w:val="006E28B7"/>
    <w:rsid w:val="006E3310"/>
    <w:rsid w:val="006E430C"/>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93"/>
    <w:rsid w:val="007148D3"/>
    <w:rsid w:val="00715B9A"/>
    <w:rsid w:val="00721593"/>
    <w:rsid w:val="00724DCD"/>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57751"/>
    <w:rsid w:val="007604B2"/>
    <w:rsid w:val="00761B10"/>
    <w:rsid w:val="00765281"/>
    <w:rsid w:val="00766BAD"/>
    <w:rsid w:val="007730BD"/>
    <w:rsid w:val="007755F2"/>
    <w:rsid w:val="00776971"/>
    <w:rsid w:val="0078177E"/>
    <w:rsid w:val="0078304C"/>
    <w:rsid w:val="00783673"/>
    <w:rsid w:val="00785490"/>
    <w:rsid w:val="0078696C"/>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E7831"/>
    <w:rsid w:val="007F1628"/>
    <w:rsid w:val="007F64C4"/>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6FE7"/>
    <w:rsid w:val="00850CEC"/>
    <w:rsid w:val="00856911"/>
    <w:rsid w:val="008601C1"/>
    <w:rsid w:val="008677FD"/>
    <w:rsid w:val="008706D4"/>
    <w:rsid w:val="00870F8A"/>
    <w:rsid w:val="008719A4"/>
    <w:rsid w:val="00871D23"/>
    <w:rsid w:val="008733BC"/>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1B13"/>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5D2C"/>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355D"/>
    <w:rsid w:val="0096430A"/>
    <w:rsid w:val="0096554B"/>
    <w:rsid w:val="0096584A"/>
    <w:rsid w:val="00971F08"/>
    <w:rsid w:val="0097603D"/>
    <w:rsid w:val="00976949"/>
    <w:rsid w:val="00980477"/>
    <w:rsid w:val="00980A14"/>
    <w:rsid w:val="00985253"/>
    <w:rsid w:val="009853B3"/>
    <w:rsid w:val="00990630"/>
    <w:rsid w:val="00991761"/>
    <w:rsid w:val="00994DCA"/>
    <w:rsid w:val="00995F2B"/>
    <w:rsid w:val="009960EC"/>
    <w:rsid w:val="009970DD"/>
    <w:rsid w:val="009A0EBF"/>
    <w:rsid w:val="009A0FBA"/>
    <w:rsid w:val="009A1601"/>
    <w:rsid w:val="009A1669"/>
    <w:rsid w:val="009A26E2"/>
    <w:rsid w:val="009A462D"/>
    <w:rsid w:val="009A5CBA"/>
    <w:rsid w:val="009A757B"/>
    <w:rsid w:val="009B1F30"/>
    <w:rsid w:val="009B26F0"/>
    <w:rsid w:val="009B3AC2"/>
    <w:rsid w:val="009B4DF4"/>
    <w:rsid w:val="009B564E"/>
    <w:rsid w:val="009B7E87"/>
    <w:rsid w:val="009C31F3"/>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6297"/>
    <w:rsid w:val="00A37E9E"/>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87EF5"/>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2AA9"/>
    <w:rsid w:val="00B02FA3"/>
    <w:rsid w:val="00B05084"/>
    <w:rsid w:val="00B0714A"/>
    <w:rsid w:val="00B11915"/>
    <w:rsid w:val="00B137BE"/>
    <w:rsid w:val="00B141C5"/>
    <w:rsid w:val="00B157F9"/>
    <w:rsid w:val="00B167F1"/>
    <w:rsid w:val="00B20256"/>
    <w:rsid w:val="00B20D09"/>
    <w:rsid w:val="00B230AD"/>
    <w:rsid w:val="00B2763F"/>
    <w:rsid w:val="00B27AAC"/>
    <w:rsid w:val="00B30929"/>
    <w:rsid w:val="00B372AA"/>
    <w:rsid w:val="00B40445"/>
    <w:rsid w:val="00B41888"/>
    <w:rsid w:val="00B42BDB"/>
    <w:rsid w:val="00B43150"/>
    <w:rsid w:val="00B45A52"/>
    <w:rsid w:val="00B45A68"/>
    <w:rsid w:val="00B46175"/>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6771"/>
    <w:rsid w:val="00BE7406"/>
    <w:rsid w:val="00BE7603"/>
    <w:rsid w:val="00BF3279"/>
    <w:rsid w:val="00BF74C7"/>
    <w:rsid w:val="00C0115F"/>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464A5"/>
    <w:rsid w:val="00C54995"/>
    <w:rsid w:val="00C54D41"/>
    <w:rsid w:val="00C60783"/>
    <w:rsid w:val="00C64672"/>
    <w:rsid w:val="00C676BE"/>
    <w:rsid w:val="00C70697"/>
    <w:rsid w:val="00C72EF4"/>
    <w:rsid w:val="00C733B9"/>
    <w:rsid w:val="00C75D2F"/>
    <w:rsid w:val="00C767BE"/>
    <w:rsid w:val="00C76963"/>
    <w:rsid w:val="00C76E3C"/>
    <w:rsid w:val="00C81568"/>
    <w:rsid w:val="00C83D24"/>
    <w:rsid w:val="00C9027A"/>
    <w:rsid w:val="00C9068E"/>
    <w:rsid w:val="00C90DE9"/>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2460"/>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6"/>
    <w:rsid w:val="00D546FF"/>
    <w:rsid w:val="00D55AD5"/>
    <w:rsid w:val="00D576CA"/>
    <w:rsid w:val="00D60E13"/>
    <w:rsid w:val="00D61AF5"/>
    <w:rsid w:val="00D62CD5"/>
    <w:rsid w:val="00D6435F"/>
    <w:rsid w:val="00D652B5"/>
    <w:rsid w:val="00D66155"/>
    <w:rsid w:val="00D6733D"/>
    <w:rsid w:val="00D708B0"/>
    <w:rsid w:val="00D720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E3F17"/>
    <w:rsid w:val="00DE4262"/>
    <w:rsid w:val="00DE5608"/>
    <w:rsid w:val="00DE58D0"/>
    <w:rsid w:val="00DE654F"/>
    <w:rsid w:val="00DF0B6E"/>
    <w:rsid w:val="00DF15E0"/>
    <w:rsid w:val="00DF30F0"/>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4B8E"/>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4634"/>
    <w:rsid w:val="00E85928"/>
    <w:rsid w:val="00E87822"/>
    <w:rsid w:val="00E90395"/>
    <w:rsid w:val="00E90B43"/>
    <w:rsid w:val="00E90E49"/>
    <w:rsid w:val="00E917EE"/>
    <w:rsid w:val="00E917F9"/>
    <w:rsid w:val="00E9291C"/>
    <w:rsid w:val="00E93FFE"/>
    <w:rsid w:val="00E94F8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E6923"/>
    <w:rsid w:val="00EF01CF"/>
    <w:rsid w:val="00EF18FE"/>
    <w:rsid w:val="00EF2DF2"/>
    <w:rsid w:val="00EF404F"/>
    <w:rsid w:val="00EF5787"/>
    <w:rsid w:val="00EF60D0"/>
    <w:rsid w:val="00EF731F"/>
    <w:rsid w:val="00F0528D"/>
    <w:rsid w:val="00F05355"/>
    <w:rsid w:val="00F06C67"/>
    <w:rsid w:val="00F06DFD"/>
    <w:rsid w:val="00F071D1"/>
    <w:rsid w:val="00F07533"/>
    <w:rsid w:val="00F07DF3"/>
    <w:rsid w:val="00F10629"/>
    <w:rsid w:val="00F145A8"/>
    <w:rsid w:val="00F15435"/>
    <w:rsid w:val="00F15FA5"/>
    <w:rsid w:val="00F209B7"/>
    <w:rsid w:val="00F2376F"/>
    <w:rsid w:val="00F243D8"/>
    <w:rsid w:val="00F30828"/>
    <w:rsid w:val="00F313D6"/>
    <w:rsid w:val="00F32A92"/>
    <w:rsid w:val="00F34EFF"/>
    <w:rsid w:val="00F36A6D"/>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3399"/>
    <w:rsid w:val="00F8456C"/>
    <w:rsid w:val="00F859D8"/>
    <w:rsid w:val="00F868F5"/>
    <w:rsid w:val="00F9056A"/>
    <w:rsid w:val="00F90CB4"/>
    <w:rsid w:val="00F90F8D"/>
    <w:rsid w:val="00F92782"/>
    <w:rsid w:val="00F93AA9"/>
    <w:rsid w:val="00F95332"/>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151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6D500E"/>
  <w15:docId w15:val="{E20CC29D-81B6-4B3A-B7E8-B3D0D08A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character" w:customStyle="1" w:styleId="B1Char">
    <w:name w:val="B1 Char"/>
    <w:link w:val="B1"/>
    <w:rsid w:val="00F05355"/>
    <w:rPr>
      <w:rFonts w:ascii="Arial" w:hAnsi="Arial"/>
      <w:lang w:val="en-GB" w:eastAsia="en-US"/>
    </w:rPr>
  </w:style>
  <w:style w:type="character" w:customStyle="1" w:styleId="B2Car">
    <w:name w:val="B2 Car"/>
    <w:basedOn w:val="DefaultParagraphFont"/>
    <w:link w:val="B2"/>
    <w:rsid w:val="00F05355"/>
    <w:rPr>
      <w:rFonts w:ascii="Arial" w:hAnsi="Arial"/>
      <w:lang w:val="en-GB" w:eastAsia="en-US"/>
    </w:rPr>
  </w:style>
  <w:style w:type="character" w:customStyle="1" w:styleId="B3Char">
    <w:name w:val="B3 Char"/>
    <w:link w:val="B3"/>
    <w:rsid w:val="00F053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51759031">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png"/><Relationship Id="rId14" Type="http://schemas.openxmlformats.org/officeDocument/2006/relationships/hyperlink" Target="http://www.3gpp.org/ftp/tsg_ran/WG2_RL2/TSGR2_85bis/docs/R2-141102.zip"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5NUHHDQN7SK2-1-113947</_dlc_DocId>
    <_dlc_DocIdUrl xmlns="08b2df90-05d3-4030-90d4-c9feeb4a1cd9">
      <Url>https://ericoll.internal.ericsson.com/sites/STAR/_layouts/DocIdRedir.aspx?ID=5NUHHDQN7SK2-1-113947</Url>
      <Description>5NUHHDQN7SK2-1-113947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7290C-8225-4C3D-ABCB-C9E895C7BEA1}"/>
</file>

<file path=customXml/itemProps2.xml><?xml version="1.0" encoding="utf-8"?>
<ds:datastoreItem xmlns:ds="http://schemas.openxmlformats.org/officeDocument/2006/customXml" ds:itemID="{E4993915-EC2F-41FB-8362-D037DF0349A3}"/>
</file>

<file path=customXml/itemProps3.xml><?xml version="1.0" encoding="utf-8"?>
<ds:datastoreItem xmlns:ds="http://schemas.openxmlformats.org/officeDocument/2006/customXml" ds:itemID="{F5005D05-5AE3-4B30-9297-D106A962980F}"/>
</file>

<file path=customXml/itemProps4.xml><?xml version="1.0" encoding="utf-8"?>
<ds:datastoreItem xmlns:ds="http://schemas.openxmlformats.org/officeDocument/2006/customXml" ds:itemID="{92F100A7-578C-4A68-B255-A9EBEF5743DA}"/>
</file>

<file path=customXml/itemProps5.xml><?xml version="1.0" encoding="utf-8"?>
<ds:datastoreItem xmlns:ds="http://schemas.openxmlformats.org/officeDocument/2006/customXml" ds:itemID="{9617894A-954E-4E37-8DE6-09B5B924354F}"/>
</file>

<file path=customXml/itemProps6.xml><?xml version="1.0" encoding="utf-8"?>
<ds:datastoreItem xmlns:ds="http://schemas.openxmlformats.org/officeDocument/2006/customXml" ds:itemID="{42ADEB4A-983E-774E-BA13-8D7ABD21A726}"/>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TotalTime>
  <Pages>4</Pages>
  <Words>1925</Words>
  <Characters>10973</Characters>
  <Application>Microsoft Macintosh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37</cp:revision>
  <cp:lastPrinted>2008-01-31T06:09:00Z</cp:lastPrinted>
  <dcterms:created xsi:type="dcterms:W3CDTF">2017-03-08T13:01:00Z</dcterms:created>
  <dcterms:modified xsi:type="dcterms:W3CDTF">2017-03-24T22:31:00Z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0f1adf19-3621-41c1-bdcc-c000e53475ad</vt:lpwstr>
  </property>
</Properties>
</file>